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E51FC" w:rsidR="00D5547E" w:rsidP="004A6D2F" w:rsidRDefault="00D5547E" w14:paraId="3A2EDFC9" w14:textId="77777777"/>
    <w:tbl>
      <w:tblPr>
        <w:tblW w:w="0" w:type="auto"/>
        <w:tblInd w:w="108" w:type="dxa"/>
        <w:tblLayout w:type="fixed"/>
        <w:tblLook w:val="04A0" w:firstRow="1" w:lastRow="0" w:firstColumn="1" w:lastColumn="0" w:noHBand="0" w:noVBand="1"/>
      </w:tblPr>
      <w:tblGrid>
        <w:gridCol w:w="2438"/>
        <w:gridCol w:w="6406"/>
      </w:tblGrid>
      <w:tr w:rsidRPr="00975B07" w:rsidR="00CE544A" w:rsidTr="62B73EE3" w14:paraId="04473DCA" w14:textId="77777777">
        <w:tc>
          <w:tcPr>
            <w:tcW w:w="2438" w:type="dxa"/>
          </w:tcPr>
          <w:p w:rsidRPr="00975B07" w:rsidR="00F445B1" w:rsidP="004A6D2F" w:rsidRDefault="00F445B1" w14:paraId="334BE3F6" w14:textId="77777777">
            <w:pPr>
              <w:rPr>
                <w:rStyle w:val="Firstpagetablebold"/>
              </w:rPr>
            </w:pPr>
            <w:r w:rsidRPr="00975B07">
              <w:rPr>
                <w:rStyle w:val="Firstpagetablebold"/>
              </w:rPr>
              <w:t>To</w:t>
            </w:r>
            <w:r w:rsidRPr="00975B07" w:rsidR="005C35A5">
              <w:rPr>
                <w:rStyle w:val="Firstpagetablebold"/>
              </w:rPr>
              <w:t>:</w:t>
            </w:r>
          </w:p>
        </w:tc>
        <w:tc>
          <w:tcPr>
            <w:tcW w:w="6406" w:type="dxa"/>
          </w:tcPr>
          <w:p w:rsidRPr="0028516F" w:rsidR="00F445B1" w:rsidP="004A6D2F" w:rsidRDefault="00DB7AD7" w14:paraId="017518DB" w14:textId="0CD27372">
            <w:pPr>
              <w:rPr>
                <w:rStyle w:val="Firstpagetablebold"/>
                <w:b w:val="0"/>
                <w:bCs/>
              </w:rPr>
            </w:pPr>
            <w:r w:rsidRPr="0028516F">
              <w:rPr>
                <w:rStyle w:val="Firstpagetablebold"/>
                <w:b w:val="0"/>
                <w:bCs/>
              </w:rPr>
              <w:t>Cabinet</w:t>
            </w:r>
            <w:r w:rsidRPr="0028516F" w:rsidR="00025250">
              <w:rPr>
                <w:rStyle w:val="Firstpagetablebold"/>
                <w:b w:val="0"/>
                <w:bCs/>
              </w:rPr>
              <w:t xml:space="preserve"> </w:t>
            </w:r>
          </w:p>
        </w:tc>
      </w:tr>
      <w:tr w:rsidRPr="00975B07" w:rsidR="00CE544A" w:rsidTr="62B73EE3" w14:paraId="705FA4FB" w14:textId="77777777">
        <w:tc>
          <w:tcPr>
            <w:tcW w:w="2438" w:type="dxa"/>
          </w:tcPr>
          <w:p w:rsidRPr="00975B07" w:rsidR="00F445B1" w:rsidP="004A6D2F" w:rsidRDefault="00F445B1" w14:paraId="3C1A12A6" w14:textId="77777777">
            <w:pPr>
              <w:rPr>
                <w:rStyle w:val="Firstpagetablebold"/>
              </w:rPr>
            </w:pPr>
            <w:r w:rsidRPr="00975B07">
              <w:rPr>
                <w:rStyle w:val="Firstpagetablebold"/>
              </w:rPr>
              <w:t>Dat</w:t>
            </w:r>
            <w:r w:rsidRPr="00975B07" w:rsidR="005C35A5">
              <w:rPr>
                <w:rStyle w:val="Firstpagetablebold"/>
              </w:rPr>
              <w:t>e:</w:t>
            </w:r>
          </w:p>
        </w:tc>
        <w:tc>
          <w:tcPr>
            <w:tcW w:w="6406" w:type="dxa"/>
          </w:tcPr>
          <w:p w:rsidRPr="009E30E2" w:rsidR="00F445B1" w:rsidP="62B73EE3" w:rsidRDefault="00774520" w14:paraId="4F4A4C58" w14:textId="7F3F3905">
            <w:pPr>
              <w:rPr>
                <w:b/>
                <w:bCs/>
                <w:color w:val="auto"/>
              </w:rPr>
            </w:pPr>
            <w:r>
              <w:rPr>
                <w:b/>
                <w:bCs/>
                <w:color w:val="auto"/>
              </w:rPr>
              <w:t>10 December 2025</w:t>
            </w:r>
          </w:p>
        </w:tc>
      </w:tr>
      <w:tr w:rsidRPr="00975B07" w:rsidR="00CE544A" w:rsidTr="62B73EE3" w14:paraId="7AED9E48" w14:textId="77777777">
        <w:tc>
          <w:tcPr>
            <w:tcW w:w="2438" w:type="dxa"/>
          </w:tcPr>
          <w:p w:rsidRPr="00975B07" w:rsidR="00F445B1" w:rsidP="004A6D2F" w:rsidRDefault="00F445B1" w14:paraId="2049294C" w14:textId="77777777">
            <w:pPr>
              <w:rPr>
                <w:rStyle w:val="Firstpagetablebold"/>
              </w:rPr>
            </w:pPr>
            <w:r w:rsidRPr="00975B07">
              <w:rPr>
                <w:rStyle w:val="Firstpagetablebold"/>
              </w:rPr>
              <w:t>Report of</w:t>
            </w:r>
            <w:r w:rsidRPr="00975B07" w:rsidR="005C35A5">
              <w:rPr>
                <w:rStyle w:val="Firstpagetablebold"/>
              </w:rPr>
              <w:t>:</w:t>
            </w:r>
          </w:p>
        </w:tc>
        <w:tc>
          <w:tcPr>
            <w:tcW w:w="6406" w:type="dxa"/>
          </w:tcPr>
          <w:p w:rsidRPr="009E30E2" w:rsidR="00F445B1" w:rsidP="004A6D2F" w:rsidRDefault="000411A3" w14:paraId="31C202AE" w14:textId="28B32F4A">
            <w:pPr>
              <w:rPr>
                <w:rStyle w:val="Firstpagetablebold"/>
                <w:color w:val="auto"/>
              </w:rPr>
            </w:pPr>
            <w:r>
              <w:rPr>
                <w:rStyle w:val="Firstpagetablebold"/>
                <w:rFonts w:cs="Arial"/>
                <w:b w:val="0"/>
                <w:color w:val="auto"/>
              </w:rPr>
              <w:t>Director of Housing</w:t>
            </w:r>
          </w:p>
        </w:tc>
      </w:tr>
      <w:tr w:rsidRPr="00975B07" w:rsidR="00CE544A" w:rsidTr="62B73EE3" w14:paraId="312CDF01" w14:textId="77777777">
        <w:tc>
          <w:tcPr>
            <w:tcW w:w="2438" w:type="dxa"/>
          </w:tcPr>
          <w:p w:rsidRPr="00975B07" w:rsidR="00F445B1" w:rsidP="004A6D2F" w:rsidRDefault="00F445B1" w14:paraId="08DE1E88" w14:textId="77777777">
            <w:pPr>
              <w:rPr>
                <w:rStyle w:val="Firstpagetablebold"/>
              </w:rPr>
            </w:pPr>
            <w:r w:rsidRPr="00975B07">
              <w:rPr>
                <w:rStyle w:val="Firstpagetablebold"/>
              </w:rPr>
              <w:t xml:space="preserve">Title of Report: </w:t>
            </w:r>
          </w:p>
        </w:tc>
        <w:tc>
          <w:tcPr>
            <w:tcW w:w="6406" w:type="dxa"/>
          </w:tcPr>
          <w:p w:rsidRPr="009E30E2" w:rsidR="00F445B1" w:rsidP="004A6D2F" w:rsidRDefault="0011090B" w14:paraId="4C45E9F3" w14:textId="4A5867C2">
            <w:pPr>
              <w:rPr>
                <w:rStyle w:val="Firstpagetablebold"/>
                <w:color w:val="auto"/>
              </w:rPr>
            </w:pPr>
            <w:r>
              <w:rPr>
                <w:rStyle w:val="Firstpagetablebold"/>
                <w:rFonts w:cs="Arial"/>
                <w:b w:val="0"/>
                <w:color w:val="auto"/>
              </w:rPr>
              <w:t>Tenancy Strategy and Tenancy Policy</w:t>
            </w:r>
          </w:p>
        </w:tc>
      </w:tr>
    </w:tbl>
    <w:p w:rsidR="004F20EF" w:rsidP="004A6D2F" w:rsidRDefault="004F20EF" w14:paraId="2173E708" w14:textId="77777777"/>
    <w:tbl>
      <w:tblPr>
        <w:tblW w:w="0" w:type="auto"/>
        <w:tblInd w:w="10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ook w:val="04A0" w:firstRow="1" w:lastRow="0" w:firstColumn="1" w:lastColumn="0" w:noHBand="0" w:noVBand="1"/>
      </w:tblPr>
      <w:tblGrid>
        <w:gridCol w:w="2438"/>
        <w:gridCol w:w="6407"/>
      </w:tblGrid>
      <w:tr w:rsidR="00D5547E" w:rsidTr="0080749A" w14:paraId="30A8EDD0" w14:textId="77777777">
        <w:tc>
          <w:tcPr>
            <w:tcW w:w="8845" w:type="dxa"/>
            <w:gridSpan w:val="2"/>
            <w:tcBorders>
              <w:bottom w:val="single" w:color="000000" w:sz="8" w:space="0"/>
            </w:tcBorders>
            <w:hideMark/>
          </w:tcPr>
          <w:p w:rsidR="00D5547E" w:rsidP="00745BF0" w:rsidRDefault="00745BF0" w14:paraId="7672E430" w14:textId="77777777">
            <w:pPr>
              <w:jc w:val="center"/>
              <w:rPr>
                <w:rStyle w:val="Firstpagetablebold"/>
              </w:rPr>
            </w:pPr>
            <w:r>
              <w:rPr>
                <w:rStyle w:val="Firstpagetablebold"/>
              </w:rPr>
              <w:t>Summary and r</w:t>
            </w:r>
            <w:r w:rsidR="00D5547E">
              <w:rPr>
                <w:rStyle w:val="Firstpagetablebold"/>
              </w:rPr>
              <w:t>ecommendations</w:t>
            </w:r>
          </w:p>
        </w:tc>
      </w:tr>
      <w:tr w:rsidR="00D5547E" w:rsidTr="0080749A" w14:paraId="01894138" w14:textId="77777777">
        <w:tc>
          <w:tcPr>
            <w:tcW w:w="2438" w:type="dxa"/>
            <w:tcBorders>
              <w:top w:val="single" w:color="000000" w:sz="8" w:space="0"/>
              <w:left w:val="single" w:color="000000" w:sz="8" w:space="0"/>
              <w:bottom w:val="nil"/>
              <w:right w:val="nil"/>
            </w:tcBorders>
            <w:hideMark/>
          </w:tcPr>
          <w:p w:rsidR="00D5547E" w:rsidRDefault="00025250" w14:paraId="5BB81F73" w14:textId="120319E8">
            <w:pPr>
              <w:rPr>
                <w:rStyle w:val="Firstpagetablebold"/>
              </w:rPr>
            </w:pPr>
            <w:r>
              <w:rPr>
                <w:rStyle w:val="Firstpagetablebold"/>
              </w:rPr>
              <w:t>Decision being taken</w:t>
            </w:r>
            <w:r w:rsidR="00D5547E">
              <w:rPr>
                <w:rStyle w:val="Firstpagetablebold"/>
              </w:rPr>
              <w:t>:</w:t>
            </w:r>
          </w:p>
        </w:tc>
        <w:tc>
          <w:tcPr>
            <w:tcW w:w="6407" w:type="dxa"/>
            <w:tcBorders>
              <w:top w:val="single" w:color="000000" w:sz="8" w:space="0"/>
              <w:left w:val="nil"/>
              <w:bottom w:val="nil"/>
              <w:right w:val="single" w:color="000000" w:sz="8" w:space="0"/>
            </w:tcBorders>
            <w:hideMark/>
          </w:tcPr>
          <w:p w:rsidRPr="009E30E2" w:rsidR="00D5547E" w:rsidP="00DB7AD7" w:rsidRDefault="00F96AE8" w14:paraId="419B6548" w14:textId="58CBCE2B">
            <w:pPr>
              <w:rPr>
                <w:color w:val="auto"/>
              </w:rPr>
            </w:pPr>
            <w:r>
              <w:rPr>
                <w:color w:val="auto"/>
              </w:rPr>
              <w:t>R</w:t>
            </w:r>
            <w:r w:rsidRPr="00F96AE8">
              <w:rPr>
                <w:color w:val="auto"/>
              </w:rPr>
              <w:t xml:space="preserve">eport to Cabinet to recommend to Council approval of the updated </w:t>
            </w:r>
            <w:r w:rsidR="00C930A5">
              <w:rPr>
                <w:color w:val="auto"/>
              </w:rPr>
              <w:t xml:space="preserve">new </w:t>
            </w:r>
            <w:r w:rsidRPr="00F96AE8">
              <w:rPr>
                <w:color w:val="auto"/>
              </w:rPr>
              <w:t xml:space="preserve">Tenancy Strategy and Tenancy Policy </w:t>
            </w:r>
          </w:p>
        </w:tc>
      </w:tr>
      <w:tr w:rsidR="00025250" w:rsidTr="0080749A" w14:paraId="43BD728D" w14:textId="77777777">
        <w:tc>
          <w:tcPr>
            <w:tcW w:w="2438" w:type="dxa"/>
            <w:tcBorders>
              <w:top w:val="nil"/>
              <w:left w:val="single" w:color="000000" w:sz="8" w:space="0"/>
              <w:bottom w:val="nil"/>
              <w:right w:val="nil"/>
            </w:tcBorders>
            <w:hideMark/>
          </w:tcPr>
          <w:p w:rsidR="00025250" w:rsidP="00025250" w:rsidRDefault="00025250" w14:paraId="0997AE74" w14:textId="77777777">
            <w:pPr>
              <w:rPr>
                <w:rStyle w:val="Firstpagetablebold"/>
              </w:rPr>
            </w:pPr>
            <w:r>
              <w:rPr>
                <w:rStyle w:val="Firstpagetablebold"/>
              </w:rPr>
              <w:t>Key decision:</w:t>
            </w:r>
          </w:p>
        </w:tc>
        <w:tc>
          <w:tcPr>
            <w:tcW w:w="6407" w:type="dxa"/>
            <w:tcBorders>
              <w:top w:val="nil"/>
              <w:left w:val="nil"/>
              <w:bottom w:val="nil"/>
              <w:right w:val="single" w:color="000000" w:sz="8" w:space="0"/>
            </w:tcBorders>
            <w:hideMark/>
          </w:tcPr>
          <w:p w:rsidRPr="009E30E2" w:rsidR="00025250" w:rsidP="00025250" w:rsidRDefault="00F96AE8" w14:paraId="1B0C58F5" w14:textId="36341524">
            <w:pPr>
              <w:rPr>
                <w:color w:val="auto"/>
              </w:rPr>
            </w:pPr>
            <w:r>
              <w:rPr>
                <w:rFonts w:cs="Arial"/>
                <w:color w:val="auto"/>
              </w:rPr>
              <w:t>Yes</w:t>
            </w:r>
            <w:r w:rsidR="00FB65A8">
              <w:rPr>
                <w:rFonts w:cs="Arial"/>
                <w:color w:val="auto"/>
              </w:rPr>
              <w:t xml:space="preserve"> - </w:t>
            </w:r>
            <w:hyperlink w:history="1" r:id="rId11">
              <w:r w:rsidRPr="00FB65A8" w:rsidR="00FB65A8">
                <w:rPr>
                  <w:rStyle w:val="Hyperlink"/>
                  <w:rFonts w:cs="Arial"/>
                </w:rPr>
                <w:t>Issue d</w:t>
              </w:r>
              <w:r w:rsidRPr="00FB65A8" w:rsidR="00FB65A8">
                <w:rPr>
                  <w:rStyle w:val="Hyperlink"/>
                  <w:rFonts w:cs="Arial"/>
                </w:rPr>
                <w:t>e</w:t>
              </w:r>
              <w:r w:rsidRPr="00FB65A8" w:rsidR="00FB65A8">
                <w:rPr>
                  <w:rStyle w:val="Hyperlink"/>
                  <w:rFonts w:cs="Arial"/>
                </w:rPr>
                <w:t>tails - Tenancy Strategy and Tenancy Policy | Oxford City Council</w:t>
              </w:r>
            </w:hyperlink>
            <w:r w:rsidRPr="009E30E2" w:rsidR="00025250">
              <w:rPr>
                <w:rFonts w:cs="Arial"/>
                <w:color w:val="auto"/>
              </w:rPr>
              <w:t xml:space="preserve"> </w:t>
            </w:r>
          </w:p>
        </w:tc>
      </w:tr>
      <w:tr w:rsidR="00025250" w:rsidTr="0080749A" w14:paraId="10A3E36F" w14:textId="77777777">
        <w:tc>
          <w:tcPr>
            <w:tcW w:w="2438" w:type="dxa"/>
            <w:tcBorders>
              <w:top w:val="nil"/>
              <w:left w:val="single" w:color="000000" w:sz="8" w:space="0"/>
              <w:bottom w:val="nil"/>
              <w:right w:val="nil"/>
            </w:tcBorders>
            <w:hideMark/>
          </w:tcPr>
          <w:p w:rsidR="00025250" w:rsidP="00025250" w:rsidRDefault="00025250" w14:paraId="55E06E9D" w14:textId="77777777">
            <w:pPr>
              <w:rPr>
                <w:rStyle w:val="Firstpagetablebold"/>
              </w:rPr>
            </w:pPr>
            <w:r>
              <w:rPr>
                <w:rStyle w:val="Firstpagetablebold"/>
              </w:rPr>
              <w:t>Cabinet Member:</w:t>
            </w:r>
          </w:p>
        </w:tc>
        <w:tc>
          <w:tcPr>
            <w:tcW w:w="6407" w:type="dxa"/>
            <w:tcBorders>
              <w:top w:val="nil"/>
              <w:left w:val="nil"/>
              <w:bottom w:val="nil"/>
              <w:right w:val="single" w:color="000000" w:sz="8" w:space="0"/>
            </w:tcBorders>
            <w:hideMark/>
          </w:tcPr>
          <w:p w:rsidRPr="009E30E2" w:rsidR="00025250" w:rsidP="00025250" w:rsidRDefault="00524087" w14:paraId="1E006809" w14:textId="16B9688C">
            <w:pPr>
              <w:rPr>
                <w:color w:val="auto"/>
              </w:rPr>
            </w:pPr>
            <w:r w:rsidRPr="00524087">
              <w:rPr>
                <w:color w:val="auto"/>
              </w:rPr>
              <w:t>Councillor Linda Smith, Cabinet Member for Housing and Communities </w:t>
            </w:r>
          </w:p>
        </w:tc>
      </w:tr>
      <w:tr w:rsidR="00025250" w:rsidTr="0097170F" w14:paraId="7B700325" w14:textId="77777777">
        <w:tc>
          <w:tcPr>
            <w:tcW w:w="2438" w:type="dxa"/>
            <w:tcBorders>
              <w:top w:val="nil"/>
              <w:left w:val="single" w:color="000000" w:sz="8" w:space="0"/>
              <w:bottom w:val="nil"/>
              <w:right w:val="nil"/>
            </w:tcBorders>
          </w:tcPr>
          <w:p w:rsidR="00025250" w:rsidP="00025250" w:rsidRDefault="00025250" w14:paraId="7A58DBB5" w14:textId="77777777">
            <w:pPr>
              <w:rPr>
                <w:rStyle w:val="Firstpagetablebold"/>
              </w:rPr>
            </w:pPr>
            <w:r>
              <w:rPr>
                <w:rStyle w:val="Firstpagetablebold"/>
              </w:rPr>
              <w:t>Corporate Priority:</w:t>
            </w:r>
          </w:p>
        </w:tc>
        <w:tc>
          <w:tcPr>
            <w:tcW w:w="6407" w:type="dxa"/>
            <w:tcBorders>
              <w:top w:val="nil"/>
              <w:left w:val="nil"/>
              <w:bottom w:val="nil"/>
              <w:right w:val="single" w:color="000000" w:sz="8" w:space="0"/>
            </w:tcBorders>
          </w:tcPr>
          <w:p w:rsidRPr="009E30E2" w:rsidR="00025250" w:rsidP="00025250" w:rsidRDefault="00524087" w14:paraId="3DF1AC69" w14:textId="00150E14">
            <w:pPr>
              <w:rPr>
                <w:color w:val="auto"/>
              </w:rPr>
            </w:pPr>
            <w:r w:rsidRPr="00524087">
              <w:rPr>
                <w:color w:val="auto"/>
              </w:rPr>
              <w:t>Good, affordable homes </w:t>
            </w:r>
          </w:p>
        </w:tc>
      </w:tr>
      <w:tr w:rsidR="00025250" w:rsidTr="0097170F" w14:paraId="63186D5F" w14:textId="77777777">
        <w:tc>
          <w:tcPr>
            <w:tcW w:w="2438" w:type="dxa"/>
            <w:tcBorders>
              <w:top w:val="nil"/>
              <w:left w:val="single" w:color="000000" w:sz="8" w:space="0"/>
              <w:bottom w:val="single" w:color="auto" w:sz="4" w:space="0"/>
              <w:right w:val="nil"/>
            </w:tcBorders>
            <w:hideMark/>
          </w:tcPr>
          <w:p w:rsidR="00025250" w:rsidP="00025250" w:rsidRDefault="00025250" w14:paraId="13359BD4" w14:textId="77777777">
            <w:pPr>
              <w:rPr>
                <w:rStyle w:val="Firstpagetablebold"/>
              </w:rPr>
            </w:pPr>
            <w:r>
              <w:rPr>
                <w:rStyle w:val="Firstpagetablebold"/>
              </w:rPr>
              <w:t>Policy Framework:</w:t>
            </w:r>
          </w:p>
        </w:tc>
        <w:tc>
          <w:tcPr>
            <w:tcW w:w="6407" w:type="dxa"/>
            <w:tcBorders>
              <w:top w:val="nil"/>
              <w:left w:val="nil"/>
              <w:bottom w:val="single" w:color="auto" w:sz="4" w:space="0"/>
              <w:right w:val="single" w:color="000000" w:sz="8" w:space="0"/>
            </w:tcBorders>
            <w:hideMark/>
          </w:tcPr>
          <w:p w:rsidRPr="009E30E2" w:rsidR="00EF4778" w:rsidP="00025250" w:rsidRDefault="00EF4778" w14:paraId="0AA7D163" w14:textId="300E6E3B">
            <w:pPr>
              <w:rPr>
                <w:color w:val="auto"/>
              </w:rPr>
            </w:pPr>
            <w:r w:rsidRPr="00EF4778">
              <w:rPr>
                <w:color w:val="auto"/>
              </w:rPr>
              <w:t>Housing, Homelessness and Rough Sleeping Strategy 2023 – 2028 </w:t>
            </w:r>
          </w:p>
        </w:tc>
      </w:tr>
    </w:tbl>
    <w:p w:rsidR="00CE544A" w:rsidP="004A6D2F" w:rsidRDefault="00CE544A" w14:paraId="3B28CE5F" w14:textId="77777777"/>
    <w:tbl>
      <w:tblPr>
        <w:tblW w:w="0" w:type="auto"/>
        <w:tblInd w:w="10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ook w:val="04A0" w:firstRow="1" w:lastRow="0" w:firstColumn="1" w:lastColumn="0" w:noHBand="0" w:noVBand="1"/>
      </w:tblPr>
      <w:tblGrid>
        <w:gridCol w:w="426"/>
        <w:gridCol w:w="8419"/>
      </w:tblGrid>
      <w:tr w:rsidRPr="00975B07" w:rsidR="00025250" w:rsidTr="6026A95D" w14:paraId="75BF65A5" w14:textId="77777777">
        <w:trPr>
          <w:trHeight w:val="413"/>
        </w:trPr>
        <w:tc>
          <w:tcPr>
            <w:tcW w:w="8845" w:type="dxa"/>
            <w:gridSpan w:val="2"/>
            <w:tcBorders>
              <w:bottom w:val="single" w:color="000000" w:themeColor="text1" w:sz="8" w:space="0"/>
            </w:tcBorders>
          </w:tcPr>
          <w:p w:rsidRPr="00975B07" w:rsidR="00025250" w:rsidRDefault="00025250" w14:paraId="18FB24CC" w14:textId="140E9700">
            <w:r w:rsidRPr="62B73EE3">
              <w:rPr>
                <w:rStyle w:val="Firstpagetablebold"/>
              </w:rPr>
              <w:t>Recommendation(s):</w:t>
            </w:r>
            <w:r w:rsidRPr="62B73EE3" w:rsidR="571C62E4">
              <w:rPr>
                <w:rStyle w:val="Firstpagetablebold"/>
              </w:rPr>
              <w:t xml:space="preserve"> </w:t>
            </w:r>
            <w:r w:rsidRPr="62B73EE3">
              <w:rPr>
                <w:rStyle w:val="Firstpagetablebold"/>
                <w:b w:val="0"/>
              </w:rPr>
              <w:t>That Cabinet resolves to:</w:t>
            </w:r>
          </w:p>
        </w:tc>
      </w:tr>
      <w:tr w:rsidRPr="00975B07" w:rsidR="00025250" w:rsidTr="6026A95D" w14:paraId="128A7C0D" w14:textId="77777777">
        <w:trPr>
          <w:trHeight w:val="283"/>
        </w:trPr>
        <w:tc>
          <w:tcPr>
            <w:tcW w:w="426" w:type="dxa"/>
            <w:tcBorders>
              <w:top w:val="single" w:color="000000" w:themeColor="text1" w:sz="8" w:space="0"/>
              <w:left w:val="single" w:color="000000" w:themeColor="text1" w:sz="8" w:space="0"/>
              <w:bottom w:val="nil"/>
              <w:right w:val="nil"/>
            </w:tcBorders>
          </w:tcPr>
          <w:p w:rsidRPr="00975B07" w:rsidR="00025250" w:rsidRDefault="00025250" w14:paraId="4AAB6C58" w14:textId="77777777">
            <w:r w:rsidRPr="00975B07">
              <w:t>1.</w:t>
            </w:r>
          </w:p>
        </w:tc>
        <w:tc>
          <w:tcPr>
            <w:tcW w:w="8419" w:type="dxa"/>
            <w:tcBorders>
              <w:top w:val="single" w:color="000000" w:themeColor="text1" w:sz="8" w:space="0"/>
              <w:left w:val="nil"/>
              <w:bottom w:val="nil"/>
              <w:right w:val="single" w:color="000000" w:themeColor="text1" w:sz="8" w:space="0"/>
            </w:tcBorders>
          </w:tcPr>
          <w:p w:rsidRPr="001356F1" w:rsidR="00025250" w:rsidRDefault="00FF4379" w14:paraId="2D683A1F" w14:textId="727727A6">
            <w:r w:rsidRPr="0C098794">
              <w:rPr>
                <w:rStyle w:val="Firstpagetablebold"/>
              </w:rPr>
              <w:t>Approve</w:t>
            </w:r>
            <w:r w:rsidRPr="0C098794">
              <w:rPr>
                <w:rStyle w:val="Firstpagetablebold"/>
                <w:b w:val="0"/>
              </w:rPr>
              <w:t xml:space="preserve"> the </w:t>
            </w:r>
            <w:r w:rsidRPr="0C098794" w:rsidR="4A0E46B2">
              <w:rPr>
                <w:rStyle w:val="Firstpagetablebold"/>
                <w:b w:val="0"/>
              </w:rPr>
              <w:t xml:space="preserve">draft </w:t>
            </w:r>
            <w:r w:rsidRPr="0C098794" w:rsidR="002056E1">
              <w:rPr>
                <w:rStyle w:val="Firstpagetablebold"/>
                <w:b w:val="0"/>
              </w:rPr>
              <w:t>Tenancy Strategy and Tenancy Policy</w:t>
            </w:r>
            <w:r w:rsidRPr="0C098794" w:rsidR="00C930A5">
              <w:rPr>
                <w:rStyle w:val="Firstpagetablebold"/>
                <w:b w:val="0"/>
              </w:rPr>
              <w:t>.</w:t>
            </w:r>
            <w:r w:rsidR="00025250">
              <w:t xml:space="preserve"> </w:t>
            </w:r>
          </w:p>
        </w:tc>
      </w:tr>
      <w:tr w:rsidRPr="00975B07" w:rsidR="00025250" w:rsidTr="6026A95D" w14:paraId="25E85822" w14:textId="77777777">
        <w:trPr>
          <w:trHeight w:val="283"/>
        </w:trPr>
        <w:tc>
          <w:tcPr>
            <w:tcW w:w="426" w:type="dxa"/>
            <w:tcBorders>
              <w:top w:val="nil"/>
              <w:left w:val="single" w:color="000000" w:themeColor="text1" w:sz="8" w:space="0"/>
              <w:bottom w:val="nil"/>
              <w:right w:val="nil"/>
            </w:tcBorders>
          </w:tcPr>
          <w:p w:rsidRPr="00975B07" w:rsidR="00025250" w:rsidRDefault="00025250" w14:paraId="65C5A875" w14:textId="77777777">
            <w:r w:rsidRPr="00975B07">
              <w:t>2.</w:t>
            </w:r>
          </w:p>
        </w:tc>
        <w:tc>
          <w:tcPr>
            <w:tcW w:w="8419" w:type="dxa"/>
            <w:tcBorders>
              <w:top w:val="nil"/>
              <w:left w:val="nil"/>
              <w:bottom w:val="nil"/>
              <w:right w:val="single" w:color="000000" w:themeColor="text1" w:sz="8" w:space="0"/>
            </w:tcBorders>
          </w:tcPr>
          <w:p w:rsidRPr="001356F1" w:rsidR="00025250" w:rsidRDefault="222139F0" w14:paraId="6ADC7102" w14:textId="40213AA4">
            <w:r w:rsidRPr="0C098794">
              <w:rPr>
                <w:b/>
                <w:bCs/>
              </w:rPr>
              <w:t xml:space="preserve">Recommend </w:t>
            </w:r>
            <w:r>
              <w:t>to Council to approve</w:t>
            </w:r>
            <w:r w:rsidR="7C3FF3CB">
              <w:t xml:space="preserve"> and adopt</w:t>
            </w:r>
            <w:r>
              <w:t xml:space="preserve"> the draft Tenancy Strategy and Tenancy Policy</w:t>
            </w:r>
            <w:r w:rsidR="00C930A5">
              <w:t>.</w:t>
            </w:r>
          </w:p>
        </w:tc>
      </w:tr>
      <w:tr w:rsidRPr="00975B07" w:rsidR="00025250" w:rsidTr="6026A95D" w14:paraId="0041D247" w14:textId="77777777">
        <w:trPr>
          <w:trHeight w:val="283"/>
        </w:trPr>
        <w:tc>
          <w:tcPr>
            <w:tcW w:w="426" w:type="dxa"/>
            <w:tcBorders>
              <w:top w:val="nil"/>
              <w:left w:val="single" w:color="000000" w:themeColor="text1" w:sz="8" w:space="0"/>
              <w:bottom w:val="single" w:color="auto" w:sz="4" w:space="0"/>
              <w:right w:val="nil"/>
            </w:tcBorders>
          </w:tcPr>
          <w:p w:rsidRPr="00975B07" w:rsidR="00025250" w:rsidP="008E6FA1" w:rsidRDefault="00025250" w14:paraId="5D89D44F" w14:textId="1A0AE93C">
            <w:pPr>
              <w:spacing w:line="259" w:lineRule="auto"/>
            </w:pPr>
            <w:r>
              <w:t>3.</w:t>
            </w:r>
          </w:p>
        </w:tc>
        <w:tc>
          <w:tcPr>
            <w:tcW w:w="8419" w:type="dxa"/>
            <w:tcBorders>
              <w:top w:val="nil"/>
              <w:left w:val="nil"/>
              <w:bottom w:val="single" w:color="auto" w:sz="4" w:space="0"/>
              <w:right w:val="single" w:color="000000" w:themeColor="text1" w:sz="8" w:space="0"/>
            </w:tcBorders>
          </w:tcPr>
          <w:p w:rsidRPr="001356F1" w:rsidR="00025250" w:rsidRDefault="2B3C8D8F" w14:paraId="0BA2D13D" w14:textId="70C6D9F6">
            <w:r w:rsidRPr="6026A95D">
              <w:rPr>
                <w:b/>
                <w:bCs/>
              </w:rPr>
              <w:t>Delegate authority</w:t>
            </w:r>
            <w:r>
              <w:t xml:space="preserve"> to the Director of Housing, in consultation with the Cabinet Member for Housing and Communities,</w:t>
            </w:r>
            <w:r w:rsidR="00C930A5">
              <w:t xml:space="preserve"> authority</w:t>
            </w:r>
            <w:r>
              <w:t xml:space="preserve"> to update the </w:t>
            </w:r>
            <w:r w:rsidR="1064AB87">
              <w:t>Tenancy Strategy and Tenancy Policy with minor amendments to keep</w:t>
            </w:r>
            <w:r w:rsidR="23CD87D7">
              <w:t xml:space="preserve"> the documents</w:t>
            </w:r>
            <w:r w:rsidR="1064AB87">
              <w:t xml:space="preserve"> up to date with</w:t>
            </w:r>
            <w:r w:rsidR="0074CCC2">
              <w:t xml:space="preserve"> </w:t>
            </w:r>
            <w:r w:rsidR="1B742B64">
              <w:t xml:space="preserve">any </w:t>
            </w:r>
            <w:r w:rsidR="0074CCC2">
              <w:t>future changes in</w:t>
            </w:r>
            <w:r w:rsidR="1064AB87">
              <w:t xml:space="preserve"> legislation</w:t>
            </w:r>
            <w:r w:rsidR="12C27359">
              <w:t xml:space="preserve">, </w:t>
            </w:r>
            <w:r w:rsidR="1064AB87">
              <w:t>regulations</w:t>
            </w:r>
            <w:r w:rsidR="67D7201E">
              <w:t>, governance</w:t>
            </w:r>
            <w:r w:rsidR="3692D9C3">
              <w:t xml:space="preserve"> and best practice</w:t>
            </w:r>
            <w:r w:rsidR="00C930A5">
              <w:t>.</w:t>
            </w:r>
          </w:p>
        </w:tc>
      </w:tr>
    </w:tbl>
    <w:p w:rsidR="00025250" w:rsidP="004A6D2F" w:rsidRDefault="00025250" w14:paraId="3E3DC543" w14:textId="77777777"/>
    <w:tbl>
      <w:tblPr>
        <w:tblW w:w="8855" w:type="dxa"/>
        <w:tblInd w:w="108"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ook w:val="04A0" w:firstRow="1" w:lastRow="0" w:firstColumn="1" w:lastColumn="0" w:noHBand="0" w:noVBand="1"/>
      </w:tblPr>
      <w:tblGrid>
        <w:gridCol w:w="1912"/>
        <w:gridCol w:w="2803"/>
        <w:gridCol w:w="4140"/>
      </w:tblGrid>
      <w:tr w:rsidRPr="003E4C33" w:rsidR="002312EA" w:rsidTr="6026A95D" w14:paraId="469C2CEE" w14:textId="77777777">
        <w:trPr>
          <w:trHeight w:val="300"/>
        </w:trPr>
        <w:tc>
          <w:tcPr>
            <w:tcW w:w="1912" w:type="dxa"/>
            <w:tcBorders>
              <w:bottom w:val="single" w:color="auto" w:sz="4" w:space="0"/>
            </w:tcBorders>
          </w:tcPr>
          <w:p w:rsidRPr="003E4C33" w:rsidR="002312EA" w:rsidRDefault="002312EA" w14:paraId="06B4268A" w14:textId="77777777">
            <w:pPr>
              <w:jc w:val="center"/>
              <w:rPr>
                <w:rStyle w:val="Firstpagetablebold"/>
                <w:rFonts w:cs="Arial"/>
              </w:rPr>
            </w:pPr>
            <w:r>
              <w:rPr>
                <w:rStyle w:val="Firstpagetablebold"/>
                <w:rFonts w:cs="Arial"/>
              </w:rPr>
              <w:t>A</w:t>
            </w:r>
            <w:r>
              <w:rPr>
                <w:rStyle w:val="Firstpagetablebold"/>
              </w:rPr>
              <w:t>ppendix No.</w:t>
            </w:r>
          </w:p>
        </w:tc>
        <w:tc>
          <w:tcPr>
            <w:tcW w:w="2803" w:type="dxa"/>
            <w:tcBorders>
              <w:bottom w:val="single" w:color="auto" w:sz="4" w:space="0"/>
            </w:tcBorders>
          </w:tcPr>
          <w:p w:rsidRPr="003E4C33" w:rsidR="002312EA" w:rsidRDefault="002312EA" w14:paraId="48373E4B" w14:textId="77777777">
            <w:pPr>
              <w:jc w:val="center"/>
              <w:rPr>
                <w:rStyle w:val="Firstpagetablebold"/>
                <w:rFonts w:cs="Arial"/>
              </w:rPr>
            </w:pPr>
            <w:r>
              <w:rPr>
                <w:rStyle w:val="Firstpagetablebold"/>
                <w:rFonts w:cs="Arial"/>
              </w:rPr>
              <w:t xml:space="preserve">Appendix Title </w:t>
            </w:r>
          </w:p>
        </w:tc>
        <w:tc>
          <w:tcPr>
            <w:tcW w:w="4140" w:type="dxa"/>
            <w:tcBorders>
              <w:bottom w:val="single" w:color="auto" w:sz="4" w:space="0"/>
            </w:tcBorders>
          </w:tcPr>
          <w:p w:rsidRPr="003E4C33" w:rsidR="002312EA" w:rsidRDefault="002312EA" w14:paraId="0A5DAC00" w14:textId="77777777">
            <w:pPr>
              <w:jc w:val="center"/>
              <w:rPr>
                <w:rStyle w:val="Firstpagetablebold"/>
                <w:rFonts w:cs="Arial"/>
              </w:rPr>
            </w:pPr>
            <w:r>
              <w:rPr>
                <w:rStyle w:val="Firstpagetablebold"/>
                <w:rFonts w:cs="Arial"/>
              </w:rPr>
              <w:t>Exempt from Publication</w:t>
            </w:r>
          </w:p>
        </w:tc>
      </w:tr>
      <w:tr w:rsidRPr="003E4C33" w:rsidR="002312EA" w:rsidTr="6026A95D" w14:paraId="43C48BEB" w14:textId="777777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00"/>
        </w:trPr>
        <w:tc>
          <w:tcPr>
            <w:tcW w:w="1912" w:type="dxa"/>
            <w:tcBorders>
              <w:top w:val="single" w:color="auto" w:sz="4" w:space="0"/>
              <w:left w:val="single" w:color="auto" w:sz="4" w:space="0"/>
              <w:bottom w:val="single" w:color="auto" w:sz="4" w:space="0"/>
              <w:right w:val="single" w:color="auto" w:sz="4" w:space="0"/>
            </w:tcBorders>
          </w:tcPr>
          <w:p w:rsidRPr="009E30E2" w:rsidR="002312EA" w:rsidRDefault="002312EA" w14:paraId="70747163" w14:textId="77777777">
            <w:pPr>
              <w:rPr>
                <w:rStyle w:val="Firstpagetablebold"/>
                <w:rFonts w:cs="Arial"/>
                <w:color w:val="auto"/>
              </w:rPr>
            </w:pPr>
            <w:r w:rsidRPr="009E30E2">
              <w:rPr>
                <w:rStyle w:val="Firstpagetablebold"/>
                <w:rFonts w:cs="Arial"/>
                <w:color w:val="auto"/>
              </w:rPr>
              <w:t>Appendix 1</w:t>
            </w:r>
          </w:p>
        </w:tc>
        <w:tc>
          <w:tcPr>
            <w:tcW w:w="2803" w:type="dxa"/>
            <w:tcBorders>
              <w:top w:val="single" w:color="auto" w:sz="4" w:space="0"/>
              <w:left w:val="single" w:color="auto" w:sz="4" w:space="0"/>
              <w:bottom w:val="single" w:color="auto" w:sz="4" w:space="0"/>
              <w:right w:val="single" w:color="auto" w:sz="4" w:space="0"/>
            </w:tcBorders>
          </w:tcPr>
          <w:p w:rsidRPr="009E30E2" w:rsidR="002312EA" w:rsidRDefault="002D3CB6" w14:paraId="3E2ED561" w14:textId="04DC5C87">
            <w:pPr>
              <w:rPr>
                <w:rFonts w:cs="Arial"/>
                <w:color w:val="auto"/>
              </w:rPr>
            </w:pPr>
            <w:r>
              <w:rPr>
                <w:rFonts w:cs="Arial"/>
                <w:color w:val="auto"/>
              </w:rPr>
              <w:t>Draft Tenancy Strategy</w:t>
            </w:r>
          </w:p>
        </w:tc>
        <w:tc>
          <w:tcPr>
            <w:tcW w:w="4140" w:type="dxa"/>
            <w:tcBorders>
              <w:top w:val="single" w:color="auto" w:sz="4" w:space="0"/>
              <w:left w:val="single" w:color="auto" w:sz="4" w:space="0"/>
              <w:bottom w:val="single" w:color="auto" w:sz="4" w:space="0"/>
              <w:right w:val="single" w:color="auto" w:sz="4" w:space="0"/>
            </w:tcBorders>
          </w:tcPr>
          <w:p w:rsidRPr="009E30E2" w:rsidR="002312EA" w:rsidP="002D3CB6" w:rsidRDefault="002D3CB6" w14:paraId="349B4576" w14:textId="373B0891">
            <w:pPr>
              <w:rPr>
                <w:rFonts w:cs="Arial"/>
                <w:color w:val="auto"/>
              </w:rPr>
            </w:pPr>
            <w:r>
              <w:rPr>
                <w:rFonts w:cs="Arial"/>
                <w:color w:val="auto"/>
              </w:rPr>
              <w:t>No</w:t>
            </w:r>
          </w:p>
        </w:tc>
      </w:tr>
      <w:tr w:rsidRPr="003E4C33" w:rsidR="002312EA" w:rsidTr="6026A95D" w14:paraId="5332D292" w14:textId="77777777">
        <w:trPr>
          <w:trHeight w:val="300"/>
        </w:trPr>
        <w:tc>
          <w:tcPr>
            <w:tcW w:w="1912" w:type="dxa"/>
            <w:tcBorders>
              <w:top w:val="single" w:color="auto" w:sz="4" w:space="0"/>
              <w:left w:val="single" w:color="000000" w:themeColor="text1" w:sz="8" w:space="0"/>
              <w:bottom w:val="single" w:color="auto" w:sz="4" w:space="0"/>
              <w:right w:val="single" w:color="auto" w:sz="4" w:space="0"/>
            </w:tcBorders>
          </w:tcPr>
          <w:p w:rsidRPr="009E30E2" w:rsidR="002312EA" w:rsidRDefault="002312EA" w14:paraId="66389E38" w14:textId="77777777">
            <w:pPr>
              <w:rPr>
                <w:rStyle w:val="Firstpagetablebold"/>
                <w:rFonts w:cs="Arial"/>
                <w:color w:val="auto"/>
              </w:rPr>
            </w:pPr>
            <w:r w:rsidRPr="009E30E2">
              <w:rPr>
                <w:rStyle w:val="Firstpagetablebold"/>
                <w:rFonts w:cs="Arial"/>
                <w:color w:val="auto"/>
              </w:rPr>
              <w:t xml:space="preserve">Appendix 2 </w:t>
            </w:r>
          </w:p>
        </w:tc>
        <w:tc>
          <w:tcPr>
            <w:tcW w:w="2803" w:type="dxa"/>
            <w:tcBorders>
              <w:top w:val="single" w:color="auto" w:sz="4" w:space="0"/>
              <w:left w:val="single" w:color="auto" w:sz="4" w:space="0"/>
              <w:bottom w:val="single" w:color="auto" w:sz="4" w:space="0"/>
              <w:right w:val="single" w:color="auto" w:sz="4" w:space="0"/>
            </w:tcBorders>
          </w:tcPr>
          <w:p w:rsidRPr="009E30E2" w:rsidR="002312EA" w:rsidRDefault="002D3CB6" w14:paraId="251AC11B" w14:textId="1D17C346">
            <w:pPr>
              <w:rPr>
                <w:rFonts w:cs="Arial"/>
                <w:color w:val="auto"/>
              </w:rPr>
            </w:pPr>
            <w:r>
              <w:rPr>
                <w:rFonts w:cs="Arial"/>
                <w:color w:val="auto"/>
              </w:rPr>
              <w:t>Draft Tenancy Policy</w:t>
            </w:r>
          </w:p>
        </w:tc>
        <w:tc>
          <w:tcPr>
            <w:tcW w:w="4140" w:type="dxa"/>
            <w:tcBorders>
              <w:top w:val="single" w:color="auto" w:sz="4" w:space="0"/>
              <w:left w:val="single" w:color="auto" w:sz="4" w:space="0"/>
              <w:bottom w:val="single" w:color="auto" w:sz="4" w:space="0"/>
              <w:right w:val="single" w:color="000000" w:themeColor="text1" w:sz="8" w:space="0"/>
            </w:tcBorders>
          </w:tcPr>
          <w:p w:rsidRPr="009E30E2" w:rsidR="002312EA" w:rsidRDefault="002D3CB6" w14:paraId="0E6EFED4" w14:textId="70C51483">
            <w:pPr>
              <w:rPr>
                <w:rFonts w:cs="Arial"/>
                <w:color w:val="auto"/>
              </w:rPr>
            </w:pPr>
            <w:r>
              <w:rPr>
                <w:rFonts w:cs="Arial"/>
                <w:color w:val="auto"/>
              </w:rPr>
              <w:t>No</w:t>
            </w:r>
          </w:p>
        </w:tc>
      </w:tr>
      <w:tr w:rsidRPr="003E4C33" w:rsidR="002D3CB6" w:rsidTr="6026A95D" w14:paraId="4970F655" w14:textId="77777777">
        <w:trPr>
          <w:trHeight w:val="300"/>
        </w:trPr>
        <w:tc>
          <w:tcPr>
            <w:tcW w:w="1912" w:type="dxa"/>
            <w:tcBorders>
              <w:top w:val="single" w:color="auto" w:sz="4" w:space="0"/>
              <w:left w:val="single" w:color="000000" w:themeColor="text1" w:sz="8" w:space="0"/>
              <w:bottom w:val="single" w:color="auto" w:sz="4" w:space="0"/>
              <w:right w:val="single" w:color="auto" w:sz="4" w:space="0"/>
            </w:tcBorders>
          </w:tcPr>
          <w:p w:rsidRPr="009E30E2" w:rsidR="002D3CB6" w:rsidRDefault="002D3CB6" w14:paraId="21C084CA" w14:textId="38A0BDA1">
            <w:pPr>
              <w:rPr>
                <w:rStyle w:val="Firstpagetablebold"/>
                <w:rFonts w:cs="Arial"/>
                <w:color w:val="auto"/>
              </w:rPr>
            </w:pPr>
            <w:r>
              <w:rPr>
                <w:rStyle w:val="Firstpagetablebold"/>
                <w:rFonts w:cs="Arial"/>
                <w:color w:val="auto"/>
              </w:rPr>
              <w:t>A</w:t>
            </w:r>
            <w:r>
              <w:rPr>
                <w:rStyle w:val="Firstpagetablebold"/>
              </w:rPr>
              <w:t>ppendix 3</w:t>
            </w:r>
          </w:p>
        </w:tc>
        <w:tc>
          <w:tcPr>
            <w:tcW w:w="2803" w:type="dxa"/>
            <w:tcBorders>
              <w:top w:val="single" w:color="auto" w:sz="4" w:space="0"/>
              <w:left w:val="single" w:color="auto" w:sz="4" w:space="0"/>
              <w:bottom w:val="single" w:color="auto" w:sz="4" w:space="0"/>
              <w:right w:val="single" w:color="auto" w:sz="4" w:space="0"/>
            </w:tcBorders>
          </w:tcPr>
          <w:p w:rsidRPr="009E30E2" w:rsidR="002D3CB6" w:rsidRDefault="002D3CB6" w14:paraId="71B30522" w14:textId="51F3FDC7">
            <w:pPr>
              <w:rPr>
                <w:rFonts w:cs="Arial"/>
                <w:color w:val="auto"/>
              </w:rPr>
            </w:pPr>
            <w:r>
              <w:rPr>
                <w:rFonts w:cs="Arial"/>
                <w:color w:val="auto"/>
              </w:rPr>
              <w:t>Equality Impact Assessment</w:t>
            </w:r>
          </w:p>
        </w:tc>
        <w:tc>
          <w:tcPr>
            <w:tcW w:w="4140" w:type="dxa"/>
            <w:tcBorders>
              <w:top w:val="single" w:color="auto" w:sz="4" w:space="0"/>
              <w:left w:val="single" w:color="auto" w:sz="4" w:space="0"/>
              <w:bottom w:val="single" w:color="auto" w:sz="4" w:space="0"/>
              <w:right w:val="single" w:color="000000" w:themeColor="text1" w:sz="8" w:space="0"/>
            </w:tcBorders>
          </w:tcPr>
          <w:p w:rsidRPr="009E30E2" w:rsidR="002D3CB6" w:rsidRDefault="002D3CB6" w14:paraId="7BD8DBB0" w14:textId="0C6C6B6A">
            <w:pPr>
              <w:rPr>
                <w:rFonts w:cs="Arial"/>
                <w:color w:val="auto"/>
              </w:rPr>
            </w:pPr>
            <w:r>
              <w:rPr>
                <w:rFonts w:cs="Arial"/>
                <w:color w:val="auto"/>
              </w:rPr>
              <w:t>No</w:t>
            </w:r>
          </w:p>
        </w:tc>
      </w:tr>
      <w:tr w:rsidRPr="003E4C33" w:rsidR="002D3CB6" w:rsidTr="6026A95D" w14:paraId="30F58022" w14:textId="77777777">
        <w:trPr>
          <w:trHeight w:val="300"/>
        </w:trPr>
        <w:tc>
          <w:tcPr>
            <w:tcW w:w="1912" w:type="dxa"/>
            <w:tcBorders>
              <w:top w:val="single" w:color="auto" w:sz="4" w:space="0"/>
              <w:left w:val="single" w:color="000000" w:themeColor="text1" w:sz="8" w:space="0"/>
              <w:bottom w:val="single" w:color="auto" w:sz="4" w:space="0"/>
              <w:right w:val="single" w:color="auto" w:sz="4" w:space="0"/>
            </w:tcBorders>
          </w:tcPr>
          <w:p w:rsidRPr="009E30E2" w:rsidR="002D3CB6" w:rsidRDefault="002D3CB6" w14:paraId="5BDC1AB7" w14:textId="5DA64DBC">
            <w:pPr>
              <w:rPr>
                <w:rStyle w:val="Firstpagetablebold"/>
                <w:rFonts w:cs="Arial"/>
                <w:color w:val="auto"/>
              </w:rPr>
            </w:pPr>
            <w:r>
              <w:rPr>
                <w:rStyle w:val="Firstpagetablebold"/>
                <w:rFonts w:cs="Arial"/>
                <w:color w:val="auto"/>
              </w:rPr>
              <w:t>A</w:t>
            </w:r>
            <w:r>
              <w:rPr>
                <w:rStyle w:val="Firstpagetablebold"/>
              </w:rPr>
              <w:t>ppendix 4</w:t>
            </w:r>
          </w:p>
        </w:tc>
        <w:tc>
          <w:tcPr>
            <w:tcW w:w="2803" w:type="dxa"/>
            <w:tcBorders>
              <w:top w:val="single" w:color="auto" w:sz="4" w:space="0"/>
              <w:left w:val="single" w:color="auto" w:sz="4" w:space="0"/>
              <w:bottom w:val="single" w:color="auto" w:sz="4" w:space="0"/>
              <w:right w:val="single" w:color="auto" w:sz="4" w:space="0"/>
            </w:tcBorders>
          </w:tcPr>
          <w:p w:rsidRPr="009E30E2" w:rsidR="002D3CB6" w:rsidRDefault="002D3CB6" w14:paraId="25F9B7B9" w14:textId="5A66C603">
            <w:pPr>
              <w:rPr>
                <w:rFonts w:cs="Arial"/>
                <w:color w:val="auto"/>
              </w:rPr>
            </w:pPr>
            <w:r>
              <w:rPr>
                <w:rFonts w:cs="Arial"/>
                <w:color w:val="auto"/>
              </w:rPr>
              <w:t>Risk Register</w:t>
            </w:r>
          </w:p>
        </w:tc>
        <w:tc>
          <w:tcPr>
            <w:tcW w:w="4140" w:type="dxa"/>
            <w:tcBorders>
              <w:top w:val="single" w:color="auto" w:sz="4" w:space="0"/>
              <w:left w:val="single" w:color="auto" w:sz="4" w:space="0"/>
              <w:bottom w:val="single" w:color="auto" w:sz="4" w:space="0"/>
              <w:right w:val="single" w:color="000000" w:themeColor="text1" w:sz="8" w:space="0"/>
            </w:tcBorders>
          </w:tcPr>
          <w:p w:rsidRPr="009E30E2" w:rsidR="002D3CB6" w:rsidRDefault="002D3CB6" w14:paraId="7809F47E" w14:textId="7EA7FD0F">
            <w:pPr>
              <w:rPr>
                <w:rFonts w:cs="Arial"/>
                <w:color w:val="auto"/>
              </w:rPr>
            </w:pPr>
            <w:r>
              <w:rPr>
                <w:rFonts w:cs="Arial"/>
                <w:color w:val="auto"/>
              </w:rPr>
              <w:t>No</w:t>
            </w:r>
          </w:p>
        </w:tc>
      </w:tr>
      <w:tr w:rsidRPr="003E4C33" w:rsidR="002D3CB6" w:rsidTr="6026A95D" w14:paraId="45BA6111" w14:textId="77777777">
        <w:trPr>
          <w:trHeight w:val="300"/>
        </w:trPr>
        <w:tc>
          <w:tcPr>
            <w:tcW w:w="1912" w:type="dxa"/>
            <w:tcBorders>
              <w:top w:val="single" w:color="auto" w:sz="4" w:space="0"/>
              <w:left w:val="single" w:color="000000" w:themeColor="text1" w:sz="8" w:space="0"/>
              <w:bottom w:val="single" w:color="auto" w:sz="4" w:space="0"/>
              <w:right w:val="single" w:color="auto" w:sz="4" w:space="0"/>
            </w:tcBorders>
          </w:tcPr>
          <w:p w:rsidRPr="009E30E2" w:rsidR="002D3CB6" w:rsidRDefault="002D3CB6" w14:paraId="0C38F739" w14:textId="1A8577D0">
            <w:pPr>
              <w:rPr>
                <w:rStyle w:val="Firstpagetablebold"/>
                <w:rFonts w:cs="Arial"/>
                <w:color w:val="auto"/>
              </w:rPr>
            </w:pPr>
            <w:r>
              <w:rPr>
                <w:rStyle w:val="Firstpagetablebold"/>
                <w:rFonts w:cs="Arial"/>
                <w:color w:val="auto"/>
              </w:rPr>
              <w:lastRenderedPageBreak/>
              <w:t>A</w:t>
            </w:r>
            <w:r>
              <w:rPr>
                <w:rStyle w:val="Firstpagetablebold"/>
              </w:rPr>
              <w:t>ppendix 5</w:t>
            </w:r>
          </w:p>
        </w:tc>
        <w:tc>
          <w:tcPr>
            <w:tcW w:w="2803" w:type="dxa"/>
            <w:tcBorders>
              <w:top w:val="single" w:color="auto" w:sz="4" w:space="0"/>
              <w:left w:val="single" w:color="auto" w:sz="4" w:space="0"/>
              <w:bottom w:val="single" w:color="auto" w:sz="4" w:space="0"/>
              <w:right w:val="single" w:color="auto" w:sz="4" w:space="0"/>
            </w:tcBorders>
          </w:tcPr>
          <w:p w:rsidRPr="009E30E2" w:rsidR="002D3CB6" w:rsidRDefault="00C930A5" w14:paraId="00710A1F" w14:textId="616F68B2">
            <w:pPr>
              <w:rPr>
                <w:rFonts w:cs="Arial"/>
                <w:color w:val="auto"/>
              </w:rPr>
            </w:pPr>
            <w:r>
              <w:rPr>
                <w:rFonts w:cs="Arial"/>
                <w:color w:val="auto"/>
              </w:rPr>
              <w:t>Tenancy Strategy and</w:t>
            </w:r>
            <w:r w:rsidR="00EE0240">
              <w:rPr>
                <w:rFonts w:cs="Arial"/>
                <w:color w:val="auto"/>
              </w:rPr>
              <w:t xml:space="preserve"> Tenancy</w:t>
            </w:r>
            <w:r>
              <w:rPr>
                <w:rFonts w:cs="Arial"/>
                <w:color w:val="auto"/>
              </w:rPr>
              <w:t xml:space="preserve"> Policy </w:t>
            </w:r>
            <w:r w:rsidR="002D3CB6">
              <w:rPr>
                <w:rFonts w:cs="Arial"/>
                <w:color w:val="auto"/>
              </w:rPr>
              <w:t>Consultation</w:t>
            </w:r>
            <w:r>
              <w:rPr>
                <w:rFonts w:cs="Arial"/>
                <w:color w:val="auto"/>
              </w:rPr>
              <w:t xml:space="preserve"> Survey Response</w:t>
            </w:r>
          </w:p>
        </w:tc>
        <w:tc>
          <w:tcPr>
            <w:tcW w:w="4140" w:type="dxa"/>
            <w:tcBorders>
              <w:top w:val="single" w:color="auto" w:sz="4" w:space="0"/>
              <w:left w:val="single" w:color="auto" w:sz="4" w:space="0"/>
              <w:bottom w:val="single" w:color="auto" w:sz="4" w:space="0"/>
              <w:right w:val="single" w:color="000000" w:themeColor="text1" w:sz="8" w:space="0"/>
            </w:tcBorders>
          </w:tcPr>
          <w:p w:rsidRPr="009E30E2" w:rsidR="002D3CB6" w:rsidRDefault="002D3CB6" w14:paraId="0B9DF486" w14:textId="1C30E82F">
            <w:pPr>
              <w:rPr>
                <w:rFonts w:cs="Arial"/>
                <w:color w:val="auto"/>
              </w:rPr>
            </w:pPr>
            <w:r>
              <w:rPr>
                <w:rFonts w:cs="Arial"/>
                <w:color w:val="auto"/>
              </w:rPr>
              <w:t>No</w:t>
            </w:r>
          </w:p>
        </w:tc>
      </w:tr>
    </w:tbl>
    <w:p w:rsidR="00F92101" w:rsidP="004A6D2F" w:rsidRDefault="00F92101" w14:paraId="09CF7AF4" w14:textId="77777777"/>
    <w:p w:rsidR="0040736F" w:rsidP="004A6D2F" w:rsidRDefault="00F66DCA" w14:paraId="50E21B3B" w14:textId="77777777">
      <w:pPr>
        <w:pStyle w:val="Heading1"/>
      </w:pPr>
      <w:r>
        <w:t>Introduction and b</w:t>
      </w:r>
      <w:r w:rsidR="00151888">
        <w:t>ackground</w:t>
      </w:r>
      <w:r w:rsidR="00404032">
        <w:t xml:space="preserve"> </w:t>
      </w:r>
    </w:p>
    <w:p w:rsidR="00E97903" w:rsidRDefault="6D367DFA" w14:paraId="6B96F5D8" w14:textId="5B244A72">
      <w:pPr>
        <w:pStyle w:val="ListParagraph"/>
      </w:pPr>
      <w:r>
        <w:t xml:space="preserve">The Council </w:t>
      </w:r>
      <w:r w:rsidR="008E6FA1">
        <w:t>is</w:t>
      </w:r>
      <w:r w:rsidR="003262B3">
        <w:t xml:space="preserve"> </w:t>
      </w:r>
      <w:r w:rsidR="00073A62">
        <w:t xml:space="preserve">both </w:t>
      </w:r>
      <w:r>
        <w:t xml:space="preserve">a strategic housing authority </w:t>
      </w:r>
      <w:r w:rsidR="008E6FA1">
        <w:t>and a</w:t>
      </w:r>
      <w:r>
        <w:t xml:space="preserve"> </w:t>
      </w:r>
      <w:r w:rsidR="000F5ED0">
        <w:t xml:space="preserve">registered provider </w:t>
      </w:r>
      <w:r w:rsidR="00003134">
        <w:t xml:space="preserve">of </w:t>
      </w:r>
      <w:r>
        <w:t xml:space="preserve">social </w:t>
      </w:r>
      <w:r w:rsidR="000660DB">
        <w:t xml:space="preserve">housing </w:t>
      </w:r>
      <w:r>
        <w:t xml:space="preserve">for tenants of the </w:t>
      </w:r>
      <w:r w:rsidR="00AB3FFC">
        <w:t>Council and</w:t>
      </w:r>
      <w:r>
        <w:t xml:space="preserve"> has a duty to publish a Tenancy Strategy as a strategic housing authority and a Tenancy Policy as a </w:t>
      </w:r>
      <w:r w:rsidR="0065791C">
        <w:t xml:space="preserve">registered provider of </w:t>
      </w:r>
      <w:r>
        <w:t>social housing and landlord</w:t>
      </w:r>
      <w:r w:rsidR="00B3633F">
        <w:t>,</w:t>
      </w:r>
      <w:r>
        <w:t xml:space="preserve"> in accordance with the Localism Act 2011. </w:t>
      </w:r>
    </w:p>
    <w:p w:rsidR="004556D2" w:rsidP="002C6A36" w:rsidRDefault="6D367DFA" w14:paraId="7C29D8A7" w14:textId="564058F7">
      <w:pPr>
        <w:pStyle w:val="ListParagraph"/>
      </w:pPr>
      <w:r>
        <w:t xml:space="preserve">The </w:t>
      </w:r>
      <w:r w:rsidR="162A0221">
        <w:t>p</w:t>
      </w:r>
      <w:r>
        <w:t xml:space="preserve">urpose of the </w:t>
      </w:r>
      <w:r w:rsidR="009C584F">
        <w:t xml:space="preserve">Tenancy Strategy </w:t>
      </w:r>
      <w:r>
        <w:t xml:space="preserve">is to set out the Council’s requirements and expectations of </w:t>
      </w:r>
      <w:r w:rsidR="003262B3">
        <w:t xml:space="preserve">all </w:t>
      </w:r>
      <w:r>
        <w:t xml:space="preserve">social housing providers operating within the </w:t>
      </w:r>
      <w:proofErr w:type="gramStart"/>
      <w:r>
        <w:t>City</w:t>
      </w:r>
      <w:proofErr w:type="gramEnd"/>
      <w:r w:rsidR="00E97903">
        <w:t xml:space="preserve"> </w:t>
      </w:r>
      <w:r w:rsidR="001A084C">
        <w:t>(</w:t>
      </w:r>
      <w:r w:rsidR="00E97903">
        <w:t>including the Council as a social landlord</w:t>
      </w:r>
      <w:r w:rsidR="001A084C">
        <w:t>)</w:t>
      </w:r>
      <w:r w:rsidR="00E97903">
        <w:t>. Under the Localism Act</w:t>
      </w:r>
      <w:r w:rsidR="7BAF48BC">
        <w:t>,</w:t>
      </w:r>
      <w:r w:rsidR="00E97903">
        <w:t xml:space="preserve"> all Registered Providers</w:t>
      </w:r>
      <w:r w:rsidR="00C930A5">
        <w:t xml:space="preserve"> (RPs)</w:t>
      </w:r>
      <w:r w:rsidR="00E97903">
        <w:t xml:space="preserve"> of social housing are required to have regard to the Tenancy Strategy </w:t>
      </w:r>
      <w:r w:rsidR="001A084C">
        <w:t>in</w:t>
      </w:r>
      <w:r w:rsidR="00A25D64">
        <w:t xml:space="preserve"> </w:t>
      </w:r>
      <w:r w:rsidR="001A084C">
        <w:t xml:space="preserve">their </w:t>
      </w:r>
      <w:r w:rsidR="00E97903">
        <w:t>Tenancy Policies</w:t>
      </w:r>
      <w:r w:rsidR="00A25D64">
        <w:t xml:space="preserve"> </w:t>
      </w:r>
      <w:r w:rsidR="001A084C">
        <w:t xml:space="preserve">and how they are applied </w:t>
      </w:r>
      <w:r w:rsidR="00A25D64">
        <w:t xml:space="preserve">for </w:t>
      </w:r>
      <w:r w:rsidR="001A084C">
        <w:t xml:space="preserve">new and </w:t>
      </w:r>
      <w:r w:rsidR="006118E6">
        <w:t>existing tenants</w:t>
      </w:r>
      <w:r w:rsidR="001A084C">
        <w:t xml:space="preserve"> in Oxford</w:t>
      </w:r>
      <w:r w:rsidR="00E97903">
        <w:t xml:space="preserve">. The Strategy </w:t>
      </w:r>
      <w:r w:rsidR="00765718">
        <w:t xml:space="preserve">seeks </w:t>
      </w:r>
      <w:r w:rsidR="0003F2B7">
        <w:t xml:space="preserve">to ensure </w:t>
      </w:r>
      <w:r w:rsidR="00765718">
        <w:t xml:space="preserve">all social landlords </w:t>
      </w:r>
      <w:r w:rsidR="6845A165">
        <w:t xml:space="preserve">operating </w:t>
      </w:r>
      <w:r w:rsidR="00765718">
        <w:t>with</w:t>
      </w:r>
      <w:r w:rsidR="389E9FA3">
        <w:t xml:space="preserve">in </w:t>
      </w:r>
      <w:r w:rsidR="00765718">
        <w:t xml:space="preserve">Oxford provide </w:t>
      </w:r>
      <w:r w:rsidR="004556D2">
        <w:t xml:space="preserve">the types of </w:t>
      </w:r>
      <w:r>
        <w:t xml:space="preserve">tenancies and </w:t>
      </w:r>
      <w:r w:rsidR="004556D2">
        <w:t xml:space="preserve">support </w:t>
      </w:r>
      <w:r w:rsidR="00765718">
        <w:t xml:space="preserve">required to </w:t>
      </w:r>
      <w:r>
        <w:t>meet local housing</w:t>
      </w:r>
      <w:r w:rsidR="004556D2">
        <w:t xml:space="preserve"> </w:t>
      </w:r>
      <w:r w:rsidR="00765718">
        <w:t>need</w:t>
      </w:r>
      <w:r w:rsidR="00E97903">
        <w:t xml:space="preserve"> and help tenants to successfully sustain their tenancies, remain in their homes and to prevent homelessness</w:t>
      </w:r>
      <w:r w:rsidR="00765718">
        <w:t>.</w:t>
      </w:r>
    </w:p>
    <w:p w:rsidRPr="002C6A36" w:rsidR="29ADC808" w:rsidP="00A25D64" w:rsidRDefault="003262B3" w14:paraId="51892B02" w14:textId="4E96E998">
      <w:pPr>
        <w:pStyle w:val="ListParagraph"/>
      </w:pPr>
      <w:r>
        <w:t xml:space="preserve">The </w:t>
      </w:r>
      <w:r w:rsidR="00E97903">
        <w:t xml:space="preserve">Council’s </w:t>
      </w:r>
      <w:r>
        <w:t xml:space="preserve">Tenancy Policy </w:t>
      </w:r>
      <w:r w:rsidR="00A25D64">
        <w:t xml:space="preserve">supports </w:t>
      </w:r>
      <w:r w:rsidR="00E97903">
        <w:t>the objectives of the Tenancy Strategy</w:t>
      </w:r>
      <w:r w:rsidR="5DD92654">
        <w:t xml:space="preserve">, by setting out the Council’s </w:t>
      </w:r>
      <w:r w:rsidR="36D1A7F3">
        <w:t xml:space="preserve">own </w:t>
      </w:r>
      <w:r w:rsidR="5DD92654">
        <w:t>approach to issuing</w:t>
      </w:r>
      <w:r w:rsidR="00CE3454">
        <w:t xml:space="preserve"> and managing</w:t>
      </w:r>
      <w:r w:rsidR="5DD92654">
        <w:t xml:space="preserve"> tenancies for its social housing tenants</w:t>
      </w:r>
      <w:r w:rsidR="00E97903">
        <w:t xml:space="preserve">. The policy is for new and existing Council tenants and </w:t>
      </w:r>
      <w:r w:rsidR="00A25D64">
        <w:t xml:space="preserve">includes </w:t>
      </w:r>
      <w:r w:rsidR="004556D2">
        <w:t xml:space="preserve">information on the </w:t>
      </w:r>
      <w:r>
        <w:t>types of tenancy</w:t>
      </w:r>
      <w:r w:rsidR="004556D2">
        <w:t xml:space="preserve">, rent and </w:t>
      </w:r>
      <w:r w:rsidR="00E97903">
        <w:t xml:space="preserve">support </w:t>
      </w:r>
      <w:r>
        <w:t>the Council will offer</w:t>
      </w:r>
      <w:r w:rsidR="004556D2">
        <w:t xml:space="preserve"> and</w:t>
      </w:r>
      <w:r w:rsidR="00E97903">
        <w:t xml:space="preserve"> is one of a suite of policies </w:t>
      </w:r>
      <w:r w:rsidR="34DFF267">
        <w:t>that outline the Council’s approach to its tenants as a social landlord.</w:t>
      </w:r>
    </w:p>
    <w:p w:rsidRPr="00B846AD" w:rsidR="00941421" w:rsidP="3671A9A7" w:rsidRDefault="0B363BFA" w14:paraId="60EBE9F6" w14:textId="61F2BB2A">
      <w:pPr>
        <w:pStyle w:val="ListParagraph"/>
      </w:pPr>
      <w:r>
        <w:t xml:space="preserve">The Council’s </w:t>
      </w:r>
      <w:r w:rsidR="14E70A20">
        <w:t xml:space="preserve">old </w:t>
      </w:r>
      <w:r w:rsidR="14429E43">
        <w:t>Tenancy S</w:t>
      </w:r>
      <w:r>
        <w:t xml:space="preserve">trategy </w:t>
      </w:r>
      <w:r w:rsidR="0351C514">
        <w:t xml:space="preserve">and </w:t>
      </w:r>
      <w:r w:rsidR="14429E43">
        <w:t>P</w:t>
      </w:r>
      <w:r w:rsidR="0351C514">
        <w:t xml:space="preserve">olicy </w:t>
      </w:r>
      <w:r w:rsidR="3FCB00AD">
        <w:t>w</w:t>
      </w:r>
      <w:r w:rsidR="14E70A20">
        <w:t>ere</w:t>
      </w:r>
      <w:r w:rsidR="3FCB00AD">
        <w:t xml:space="preserve"> adopted in 2018 </w:t>
      </w:r>
      <w:r w:rsidR="061E718A">
        <w:t xml:space="preserve">and will be replaced by these new documents. </w:t>
      </w:r>
      <w:r w:rsidR="14E70A20">
        <w:t xml:space="preserve"> </w:t>
      </w:r>
      <w:r w:rsidR="4466CD28">
        <w:t xml:space="preserve">The new strategy and policy </w:t>
      </w:r>
      <w:r w:rsidR="20108708">
        <w:t xml:space="preserve">reflect </w:t>
      </w:r>
      <w:r w:rsidR="5023D762">
        <w:t xml:space="preserve">the </w:t>
      </w:r>
      <w:r w:rsidR="77E4A18B">
        <w:t xml:space="preserve">updated </w:t>
      </w:r>
      <w:r w:rsidR="41396389">
        <w:t>priorities of the</w:t>
      </w:r>
      <w:r w:rsidR="20108708">
        <w:t xml:space="preserve"> Council and </w:t>
      </w:r>
      <w:r w:rsidR="00484624">
        <w:t>tenants and</w:t>
      </w:r>
      <w:r w:rsidR="48AF63F8">
        <w:t xml:space="preserve"> </w:t>
      </w:r>
      <w:r w:rsidR="37A0C800">
        <w:t xml:space="preserve">comply </w:t>
      </w:r>
      <w:r w:rsidR="48AF63F8">
        <w:t xml:space="preserve">with </w:t>
      </w:r>
      <w:r w:rsidR="2BD73B11">
        <w:t xml:space="preserve">the </w:t>
      </w:r>
      <w:r w:rsidR="0F09D958">
        <w:t xml:space="preserve">new </w:t>
      </w:r>
      <w:r w:rsidR="48AF63F8">
        <w:t>legislative and regulatory requirement</w:t>
      </w:r>
      <w:r w:rsidR="1597C6FA">
        <w:t xml:space="preserve"> of</w:t>
      </w:r>
      <w:r w:rsidR="7083B672">
        <w:t xml:space="preserve"> </w:t>
      </w:r>
      <w:r w:rsidR="2DD7C14D">
        <w:t>the Social Housing (Regulation) Act 2023</w:t>
      </w:r>
      <w:r w:rsidR="303E66F5">
        <w:t xml:space="preserve"> and Consumer Standards.</w:t>
      </w:r>
      <w:r w:rsidR="09963B9E">
        <w:t xml:space="preserve"> </w:t>
      </w:r>
    </w:p>
    <w:p w:rsidRPr="00B846AD" w:rsidR="00941421" w:rsidP="0C098794" w:rsidRDefault="00941421" w14:paraId="168DD526" w14:textId="089EF6C0">
      <w:pPr>
        <w:pStyle w:val="ListParagraph"/>
        <w:numPr>
          <w:ilvl w:val="0"/>
          <w:numId w:val="0"/>
        </w:numPr>
        <w:ind w:left="502"/>
        <w:rPr>
          <w:b/>
          <w:bCs/>
        </w:rPr>
      </w:pPr>
      <w:r w:rsidRPr="0C098794">
        <w:rPr>
          <w:b/>
          <w:bCs/>
        </w:rPr>
        <w:t>Our updated Tenancy Strategy and Policy</w:t>
      </w:r>
    </w:p>
    <w:p w:rsidR="002D74F9" w:rsidRDefault="00932710" w14:paraId="329A7DDE" w14:textId="7150E294">
      <w:pPr>
        <w:pStyle w:val="ListParagraph"/>
      </w:pPr>
      <w:r>
        <w:t xml:space="preserve">The </w:t>
      </w:r>
      <w:r w:rsidR="008502E7">
        <w:t xml:space="preserve">new </w:t>
      </w:r>
      <w:r>
        <w:t xml:space="preserve">Tenancy Strategy </w:t>
      </w:r>
      <w:r w:rsidR="2D0D995B">
        <w:t xml:space="preserve">aligns with </w:t>
      </w:r>
      <w:r>
        <w:t>the</w:t>
      </w:r>
      <w:r w:rsidR="0076521E">
        <w:t xml:space="preserve"> aims of</w:t>
      </w:r>
      <w:r w:rsidR="00F36A6C">
        <w:t xml:space="preserve"> </w:t>
      </w:r>
      <w:r w:rsidR="002C6A36">
        <w:t xml:space="preserve">other key </w:t>
      </w:r>
      <w:r w:rsidR="001053AB">
        <w:t xml:space="preserve">Council </w:t>
      </w:r>
      <w:r w:rsidR="00F36A6C">
        <w:t>strategies</w:t>
      </w:r>
      <w:r w:rsidR="006E4D57">
        <w:t xml:space="preserve"> </w:t>
      </w:r>
      <w:r w:rsidR="00C930A5">
        <w:t xml:space="preserve">and policies </w:t>
      </w:r>
      <w:r w:rsidR="006E4D57">
        <w:t>including</w:t>
      </w:r>
      <w:r w:rsidR="00F36A6C">
        <w:t xml:space="preserve"> the</w:t>
      </w:r>
      <w:r w:rsidR="0076521E">
        <w:t xml:space="preserve"> </w:t>
      </w:r>
      <w:r w:rsidR="00C62B4E">
        <w:t>C</w:t>
      </w:r>
      <w:r w:rsidR="00061C6B">
        <w:t>ouncil</w:t>
      </w:r>
      <w:r w:rsidR="001053AB">
        <w:t xml:space="preserve"> </w:t>
      </w:r>
      <w:r w:rsidR="00C62B4E">
        <w:t>Strategy</w:t>
      </w:r>
      <w:r w:rsidR="00061C6B">
        <w:t xml:space="preserve"> 2024-2028</w:t>
      </w:r>
      <w:r w:rsidR="00C62B4E">
        <w:t>,</w:t>
      </w:r>
      <w:r w:rsidR="00F36A6C">
        <w:t xml:space="preserve"> Housing, Homelessness and Rough Sleeping Strategy </w:t>
      </w:r>
      <w:r w:rsidR="008502E7">
        <w:t xml:space="preserve">23-28 </w:t>
      </w:r>
      <w:r w:rsidR="00F36A6C">
        <w:t xml:space="preserve">and </w:t>
      </w:r>
      <w:r w:rsidR="001053AB">
        <w:t xml:space="preserve">the </w:t>
      </w:r>
      <w:r w:rsidR="002C6A36">
        <w:t>Allocation</w:t>
      </w:r>
      <w:r w:rsidR="72B2516B">
        <w:t>s</w:t>
      </w:r>
      <w:r w:rsidR="002C6A36">
        <w:t xml:space="preserve"> Scheme</w:t>
      </w:r>
      <w:r w:rsidR="00C930A5">
        <w:t>.</w:t>
      </w:r>
      <w:r w:rsidR="00F36A6C">
        <w:t xml:space="preserve"> </w:t>
      </w:r>
    </w:p>
    <w:p w:rsidR="2D36E796" w:rsidP="3671A9A7" w:rsidRDefault="2B008948" w14:paraId="6530E914" w14:textId="44FF4288">
      <w:pPr>
        <w:pStyle w:val="ListParagraph"/>
        <w:rPr>
          <w:color w:val="000000" w:themeColor="text1"/>
        </w:rPr>
      </w:pPr>
      <w:r>
        <w:t xml:space="preserve">The core principles of the new Strategy remain consistent with the Council’s longstanding approach to social housing in the </w:t>
      </w:r>
      <w:r w:rsidR="1C83AB85">
        <w:t>C</w:t>
      </w:r>
      <w:r>
        <w:t>ity: tenants should be offered secure tenancies, at social rent where possible and receive the support they need to live in their homes (outlined in more detail below).There is a greater emphasis on requesting RPs to ensure there is suitable support in place to help their tenants living in Oxford and to work closely with the Council on tackling issues affecting residents including the prevention of homelessness, Domestic Abuse and Anti-Social Behaviour (ASB) in local neighbourhoods.</w:t>
      </w:r>
    </w:p>
    <w:p w:rsidR="00E40D74" w:rsidP="2D36E796" w:rsidRDefault="09963B9E" w14:paraId="63F7B6C1" w14:textId="77FF011F">
      <w:pPr>
        <w:pStyle w:val="ListParagraph"/>
        <w:rPr>
          <w:color w:val="000000" w:themeColor="text1"/>
        </w:rPr>
      </w:pPr>
      <w:r>
        <w:t>The key objectives of the Tenancy Strategy</w:t>
      </w:r>
      <w:r w:rsidR="36A174CE">
        <w:t xml:space="preserve"> (reflected in the Tenancy Policy for new and existing Council tenants)</w:t>
      </w:r>
      <w:r>
        <w:t xml:space="preserve"> are:</w:t>
      </w:r>
    </w:p>
    <w:p w:rsidR="00B41AC8" w:rsidP="00B41AC8" w:rsidRDefault="250142AA" w14:paraId="49933F28" w14:textId="77777777">
      <w:pPr>
        <w:pStyle w:val="ListParagraph"/>
        <w:numPr>
          <w:ilvl w:val="0"/>
          <w:numId w:val="21"/>
        </w:numPr>
      </w:pPr>
      <w:r>
        <w:lastRenderedPageBreak/>
        <w:t>To promote Oxford City</w:t>
      </w:r>
      <w:r w:rsidR="0C24B831">
        <w:t xml:space="preserve"> Council’s housing vision with a focus </w:t>
      </w:r>
      <w:r w:rsidR="7B3F0884">
        <w:t xml:space="preserve">on </w:t>
      </w:r>
      <w:r w:rsidR="0C24B831">
        <w:t>provid</w:t>
      </w:r>
      <w:r w:rsidR="7B3F0884">
        <w:t>ing</w:t>
      </w:r>
      <w:r w:rsidR="0C24B831">
        <w:t xml:space="preserve"> </w:t>
      </w:r>
      <w:r w:rsidR="409178C5">
        <w:t xml:space="preserve">secure or assured </w:t>
      </w:r>
      <w:r w:rsidR="3D3F0DA0">
        <w:t xml:space="preserve">social </w:t>
      </w:r>
      <w:r w:rsidR="0C24B831">
        <w:t>tenancies</w:t>
      </w:r>
      <w:r w:rsidR="00B41AC8">
        <w:t>.</w:t>
      </w:r>
    </w:p>
    <w:p w:rsidR="0044147C" w:rsidP="0044147C" w:rsidRDefault="2091943E" w14:paraId="5354158F" w14:textId="025B4E07">
      <w:pPr>
        <w:pStyle w:val="ListParagraph"/>
        <w:numPr>
          <w:ilvl w:val="0"/>
          <w:numId w:val="21"/>
        </w:numPr>
      </w:pPr>
      <w:r>
        <w:t>New social housing tenancies are let at genuinely affordable rents</w:t>
      </w:r>
      <w:r w:rsidR="00C11EC6">
        <w:t xml:space="preserve"> i.e. in line </w:t>
      </w:r>
      <w:r w:rsidR="00083CD5">
        <w:t>with</w:t>
      </w:r>
      <w:r>
        <w:t xml:space="preserve"> Social Rent levels ideally or at Affordable Rent capped at Local Housing Allowance (or equivalent measure) levels</w:t>
      </w:r>
    </w:p>
    <w:p w:rsidRPr="0044147C" w:rsidR="0044147C" w:rsidP="0044147C" w:rsidRDefault="00A10BC4" w14:paraId="7FF3D544" w14:textId="77777777">
      <w:pPr>
        <w:pStyle w:val="ListParagraph"/>
        <w:numPr>
          <w:ilvl w:val="0"/>
          <w:numId w:val="21"/>
        </w:numPr>
      </w:pPr>
      <w:r>
        <w:t xml:space="preserve">To reduce the risk of homelessness, promote tenancy sustainment and contribute to the </w:t>
      </w:r>
      <w:r w:rsidR="00F050F4">
        <w:t xml:space="preserve">Council priorities of </w:t>
      </w:r>
      <w:r>
        <w:t>deliver</w:t>
      </w:r>
      <w:r w:rsidR="00F050F4">
        <w:t>ing</w:t>
      </w:r>
      <w:r>
        <w:t xml:space="preserve"> </w:t>
      </w:r>
      <w:r w:rsidRPr="0044147C">
        <w:rPr>
          <w:i/>
          <w:iCs/>
        </w:rPr>
        <w:t xml:space="preserve">good affordable homes </w:t>
      </w:r>
      <w:r>
        <w:t xml:space="preserve">and </w:t>
      </w:r>
      <w:r w:rsidRPr="0044147C">
        <w:rPr>
          <w:i/>
          <w:iCs/>
        </w:rPr>
        <w:t>thriving communities</w:t>
      </w:r>
      <w:r w:rsidRPr="0044147C" w:rsidR="0001214A">
        <w:rPr>
          <w:i/>
          <w:iCs/>
        </w:rPr>
        <w:t>.</w:t>
      </w:r>
    </w:p>
    <w:p w:rsidR="00A10BC4" w:rsidP="0044147C" w:rsidRDefault="00A10BC4" w14:paraId="1037C542" w14:textId="5DDC4BCC">
      <w:pPr>
        <w:pStyle w:val="ListParagraph"/>
        <w:numPr>
          <w:ilvl w:val="0"/>
          <w:numId w:val="21"/>
        </w:numPr>
      </w:pPr>
      <w:r>
        <w:t>To ensure that</w:t>
      </w:r>
      <w:r w:rsidR="03FD3E4A">
        <w:t xml:space="preserve"> RPs of social housing</w:t>
      </w:r>
      <w:r>
        <w:t xml:space="preserve"> </w:t>
      </w:r>
      <w:r w:rsidR="20CC58A4">
        <w:t>have regard</w:t>
      </w:r>
      <w:r>
        <w:t xml:space="preserve"> to</w:t>
      </w:r>
      <w:r w:rsidR="79FEC0EB">
        <w:t xml:space="preserve"> and adhere to the</w:t>
      </w:r>
      <w:r>
        <w:t xml:space="preserve"> Tenancy Strategy </w:t>
      </w:r>
      <w:r w:rsidR="00F2207D">
        <w:t xml:space="preserve">within their own policies </w:t>
      </w:r>
      <w:r w:rsidR="263D3339">
        <w:t xml:space="preserve">and work closely with their tenants and </w:t>
      </w:r>
      <w:r w:rsidR="00F2207D">
        <w:t>in partnership</w:t>
      </w:r>
      <w:r w:rsidR="00F050F4">
        <w:t xml:space="preserve"> with the</w:t>
      </w:r>
      <w:r w:rsidR="263D3339">
        <w:t xml:space="preserve"> Council</w:t>
      </w:r>
      <w:r w:rsidR="0001214A">
        <w:t xml:space="preserve"> </w:t>
      </w:r>
      <w:r>
        <w:t>to the benefit of the local community</w:t>
      </w:r>
      <w:r w:rsidR="27DBA64C">
        <w:t xml:space="preserve"> </w:t>
      </w:r>
    </w:p>
    <w:p w:rsidR="005A2389" w:rsidP="3671A9A7" w:rsidRDefault="00BC5FEE" w14:paraId="43341D79" w14:textId="250C6730">
      <w:pPr>
        <w:pStyle w:val="ListParagraph"/>
      </w:pPr>
      <w:r>
        <w:t>Through this Strategy</w:t>
      </w:r>
      <w:r w:rsidR="002E2603">
        <w:t>,</w:t>
      </w:r>
      <w:r>
        <w:t xml:space="preserve"> the Council seeks to work</w:t>
      </w:r>
      <w:r w:rsidR="7C92AA3E">
        <w:t xml:space="preserve"> in partnership </w:t>
      </w:r>
      <w:r w:rsidR="303935EE">
        <w:t xml:space="preserve">to make the best use of </w:t>
      </w:r>
      <w:r w:rsidR="7C92AA3E">
        <w:t xml:space="preserve">existing and new </w:t>
      </w:r>
      <w:r w:rsidR="303935EE">
        <w:t xml:space="preserve">social housing </w:t>
      </w:r>
      <w:r w:rsidR="36A174CE">
        <w:t xml:space="preserve">built </w:t>
      </w:r>
      <w:r w:rsidR="303935EE">
        <w:t xml:space="preserve">in the </w:t>
      </w:r>
      <w:proofErr w:type="gramStart"/>
      <w:r w:rsidR="303935EE">
        <w:t>City</w:t>
      </w:r>
      <w:proofErr w:type="gramEnd"/>
      <w:r w:rsidR="303935EE">
        <w:t xml:space="preserve"> </w:t>
      </w:r>
      <w:r w:rsidR="6F578769">
        <w:t xml:space="preserve">owned by RPs </w:t>
      </w:r>
      <w:r w:rsidR="00A97B51">
        <w:t>an</w:t>
      </w:r>
      <w:r w:rsidR="0074358E">
        <w:t>d</w:t>
      </w:r>
      <w:r w:rsidR="00A97B51">
        <w:t xml:space="preserve"> the Council to be</w:t>
      </w:r>
      <w:r w:rsidR="002E2603">
        <w:t xml:space="preserve"> </w:t>
      </w:r>
      <w:r w:rsidR="5C94313F">
        <w:t>allocated through the Oxford Register for Affordable Housing</w:t>
      </w:r>
      <w:r w:rsidR="0018218A">
        <w:t>. Furthermore</w:t>
      </w:r>
      <w:r w:rsidR="799D7F9F">
        <w:t>,</w:t>
      </w:r>
      <w:r w:rsidR="0018218A">
        <w:t xml:space="preserve"> </w:t>
      </w:r>
      <w:r w:rsidR="0074358E">
        <w:t>to ensure</w:t>
      </w:r>
      <w:r w:rsidR="7C92AA3E">
        <w:t xml:space="preserve"> new housing applicants and existing tenants seeking to transfer</w:t>
      </w:r>
      <w:r w:rsidR="55C3581F">
        <w:t xml:space="preserve"> or</w:t>
      </w:r>
      <w:r w:rsidR="7C92AA3E">
        <w:t xml:space="preserve"> in </w:t>
      </w:r>
      <w:r w:rsidR="5C94313F">
        <w:t>housing need</w:t>
      </w:r>
      <w:r w:rsidR="7C92AA3E">
        <w:t xml:space="preserve"> are helped, including those who are homeless, overcrowded or living in unsuitable housing and </w:t>
      </w:r>
      <w:r w:rsidR="0ED4C920">
        <w:t>any</w:t>
      </w:r>
      <w:r w:rsidR="7C92AA3E">
        <w:t xml:space="preserve"> tenants willing to downsize </w:t>
      </w:r>
      <w:r w:rsidR="1CA88ADD">
        <w:t xml:space="preserve">and </w:t>
      </w:r>
      <w:r w:rsidR="2D7DC970">
        <w:t>free up larger homes for families in housing need</w:t>
      </w:r>
      <w:r w:rsidR="303935EE">
        <w:t>.</w:t>
      </w:r>
    </w:p>
    <w:p w:rsidRPr="002D74F9" w:rsidR="00D06911" w:rsidP="002D74F9" w:rsidRDefault="3BC7545A" w14:paraId="50389037" w14:textId="62E6BE5A">
      <w:pPr>
        <w:pStyle w:val="ListParagraph"/>
      </w:pPr>
      <w:r>
        <w:t xml:space="preserve">The new Strategy and Policy </w:t>
      </w:r>
      <w:r w:rsidR="212A6A9E">
        <w:t xml:space="preserve">is </w:t>
      </w:r>
      <w:r>
        <w:t>embed</w:t>
      </w:r>
      <w:r w:rsidR="27552C21">
        <w:t>ded</w:t>
      </w:r>
      <w:r>
        <w:t xml:space="preserve"> </w:t>
      </w:r>
      <w:r w:rsidR="1BC0CCFA">
        <w:t>into the Council</w:t>
      </w:r>
      <w:r w:rsidR="7D5A8A17">
        <w:t>’</w:t>
      </w:r>
      <w:r w:rsidR="1BC0CCFA">
        <w:t>s policy framework</w:t>
      </w:r>
      <w:r w:rsidR="1BCDCDAB">
        <w:t xml:space="preserve"> to </w:t>
      </w:r>
      <w:r>
        <w:t>comply with the chang</w:t>
      </w:r>
      <w:r w:rsidR="3E30D6CD">
        <w:t>ing</w:t>
      </w:r>
      <w:r>
        <w:t xml:space="preserve"> legislative and regulatory </w:t>
      </w:r>
      <w:r w:rsidR="0649E447">
        <w:t>regime for social housing in England. I</w:t>
      </w:r>
      <w:r w:rsidR="36A174CE">
        <w:t xml:space="preserve">n </w:t>
      </w:r>
      <w:r w:rsidR="69951B21">
        <w:t xml:space="preserve">recent years the government has </w:t>
      </w:r>
      <w:r w:rsidR="6DB3A6EE">
        <w:t>increased</w:t>
      </w:r>
      <w:r w:rsidR="69951B21">
        <w:t xml:space="preserve"> </w:t>
      </w:r>
      <w:r w:rsidR="14A135EA">
        <w:t xml:space="preserve">the </w:t>
      </w:r>
      <w:r w:rsidR="69951B21">
        <w:t xml:space="preserve">regulation </w:t>
      </w:r>
      <w:r w:rsidR="0ED4C920">
        <w:t xml:space="preserve">of </w:t>
      </w:r>
      <w:r w:rsidR="62AE8EAD">
        <w:t>R</w:t>
      </w:r>
      <w:r w:rsidR="1B51F556">
        <w:t>Ps and Councils</w:t>
      </w:r>
      <w:r w:rsidR="69951B21">
        <w:t xml:space="preserve"> </w:t>
      </w:r>
      <w:r w:rsidR="360AE748">
        <w:t xml:space="preserve">to drive up the safety and quality of homes and to ensure </w:t>
      </w:r>
      <w:r w:rsidR="54A1D0ED">
        <w:t xml:space="preserve">the </w:t>
      </w:r>
      <w:r w:rsidR="360AE748">
        <w:t>tenants</w:t>
      </w:r>
      <w:r w:rsidR="2F5F1053">
        <w:t>’</w:t>
      </w:r>
      <w:r w:rsidR="360AE748">
        <w:t xml:space="preserve"> voice </w:t>
      </w:r>
      <w:r w:rsidR="4531A42E">
        <w:t>is listened to and</w:t>
      </w:r>
      <w:r w:rsidR="360AE748">
        <w:t xml:space="preserve"> central </w:t>
      </w:r>
      <w:r w:rsidR="49DACB31">
        <w:t>in policy development.</w:t>
      </w:r>
      <w:r w:rsidR="70D44F97">
        <w:t xml:space="preserve"> The Social Housing Regulation Act 2023 and </w:t>
      </w:r>
      <w:r w:rsidR="3174181A">
        <w:t xml:space="preserve">new </w:t>
      </w:r>
      <w:r w:rsidR="70D44F97">
        <w:t xml:space="preserve">Consumer Standards 2024 underpin the </w:t>
      </w:r>
      <w:r w:rsidR="153CDAF9">
        <w:t xml:space="preserve">new </w:t>
      </w:r>
      <w:r w:rsidR="3A353ADB">
        <w:t>regulatory regime administered by the Regulator of Social Housing.</w:t>
      </w:r>
    </w:p>
    <w:p w:rsidRPr="002A044C" w:rsidR="6026A95D" w:rsidP="6026A95D" w:rsidRDefault="6C2CB1E2" w14:paraId="36467AD2" w14:textId="31FF8C50">
      <w:pPr>
        <w:pStyle w:val="ListParagraph"/>
        <w:spacing w:line="259" w:lineRule="auto"/>
      </w:pPr>
      <w:r>
        <w:t>The Tenancy Standard, part of the wider Consumer Standards</w:t>
      </w:r>
      <w:r w:rsidR="56C03851">
        <w:t xml:space="preserve"> brought in </w:t>
      </w:r>
      <w:r w:rsidR="0E9886BA">
        <w:t>by</w:t>
      </w:r>
      <w:r w:rsidR="56C03851">
        <w:t xml:space="preserve"> the Social </w:t>
      </w:r>
      <w:r w:rsidR="3368A0A2">
        <w:t>Housing</w:t>
      </w:r>
      <w:r w:rsidR="56C03851">
        <w:t xml:space="preserve"> </w:t>
      </w:r>
      <w:r w:rsidR="763A98B6">
        <w:t xml:space="preserve">(Regulation) </w:t>
      </w:r>
      <w:r w:rsidR="56C03851">
        <w:t>Act</w:t>
      </w:r>
      <w:r>
        <w:t xml:space="preserve"> that </w:t>
      </w:r>
      <w:r w:rsidR="004D74DC">
        <w:t>s</w:t>
      </w:r>
      <w:r>
        <w:t xml:space="preserve">ocial </w:t>
      </w:r>
      <w:r w:rsidR="004D74DC">
        <w:t>h</w:t>
      </w:r>
      <w:r>
        <w:t xml:space="preserve">ousing landlords must </w:t>
      </w:r>
      <w:r w:rsidR="03DEC8AB">
        <w:t>comply</w:t>
      </w:r>
      <w:r>
        <w:t xml:space="preserve"> with</w:t>
      </w:r>
      <w:r w:rsidR="20089D9D">
        <w:t xml:space="preserve">, imposes clear </w:t>
      </w:r>
      <w:r w:rsidR="10F56525">
        <w:t>requirements</w:t>
      </w:r>
      <w:r w:rsidR="20089D9D">
        <w:t xml:space="preserve"> </w:t>
      </w:r>
      <w:r w:rsidR="68816854">
        <w:t>on social landlords</w:t>
      </w:r>
      <w:r w:rsidR="5724453D">
        <w:t xml:space="preserve"> in their </w:t>
      </w:r>
      <w:r w:rsidR="0E7BA619">
        <w:t>approach</w:t>
      </w:r>
      <w:r w:rsidR="5724453D">
        <w:t xml:space="preserve"> to tenancies</w:t>
      </w:r>
      <w:r w:rsidR="2388013C">
        <w:t xml:space="preserve">. </w:t>
      </w:r>
      <w:r w:rsidR="3E577EC2">
        <w:t xml:space="preserve">This </w:t>
      </w:r>
      <w:r w:rsidR="2E2E8531">
        <w:t xml:space="preserve">includes </w:t>
      </w:r>
      <w:r w:rsidR="4A3817A3">
        <w:t>the</w:t>
      </w:r>
      <w:r w:rsidR="68816854">
        <w:t xml:space="preserve"> requirement to publish </w:t>
      </w:r>
      <w:r w:rsidR="255D593D">
        <w:t xml:space="preserve">a </w:t>
      </w:r>
      <w:r w:rsidR="68816854">
        <w:t xml:space="preserve">clear policy on issuing of </w:t>
      </w:r>
      <w:r w:rsidR="16EE22BD">
        <w:t>tenancies</w:t>
      </w:r>
      <w:r w:rsidR="68816854">
        <w:t xml:space="preserve"> and </w:t>
      </w:r>
      <w:r w:rsidR="33A5330B">
        <w:t xml:space="preserve">to outline our </w:t>
      </w:r>
      <w:r w:rsidR="0C542580">
        <w:t>approach</w:t>
      </w:r>
      <w:r w:rsidR="68816854">
        <w:t xml:space="preserve"> to</w:t>
      </w:r>
      <w:r w:rsidR="73114D0B">
        <w:t xml:space="preserve"> </w:t>
      </w:r>
      <w:r w:rsidR="64D1415E">
        <w:t>areas</w:t>
      </w:r>
      <w:r w:rsidR="73114D0B">
        <w:t xml:space="preserve"> such as</w:t>
      </w:r>
      <w:r w:rsidR="68816854">
        <w:t xml:space="preserve"> tenure, </w:t>
      </w:r>
      <w:r w:rsidR="2EFFDE4D">
        <w:t>flexible</w:t>
      </w:r>
      <w:r w:rsidR="68816854">
        <w:t xml:space="preserve"> tenancies, </w:t>
      </w:r>
      <w:r w:rsidR="3B0CA6D3">
        <w:t>introductory</w:t>
      </w:r>
      <w:r w:rsidR="68816854">
        <w:t xml:space="preserve"> </w:t>
      </w:r>
      <w:r w:rsidR="3278F44A">
        <w:t>tenancies</w:t>
      </w:r>
      <w:r w:rsidR="3C64FB33">
        <w:t xml:space="preserve"> and </w:t>
      </w:r>
      <w:r w:rsidR="40A2F3E9">
        <w:t>succession</w:t>
      </w:r>
      <w:r w:rsidR="68816854">
        <w:t>.</w:t>
      </w:r>
      <w:r w:rsidR="1B51F556">
        <w:t xml:space="preserve"> T</w:t>
      </w:r>
      <w:r w:rsidR="153CDAF9">
        <w:t xml:space="preserve">he </w:t>
      </w:r>
      <w:r w:rsidR="5B9468EC">
        <w:t xml:space="preserve">new </w:t>
      </w:r>
      <w:r w:rsidR="14A13F0D">
        <w:t>Tenancy Strategy and Tenancy Policy</w:t>
      </w:r>
      <w:r w:rsidR="0625E69D">
        <w:t xml:space="preserve"> </w:t>
      </w:r>
      <w:r w:rsidR="1B51F556">
        <w:t xml:space="preserve">embed </w:t>
      </w:r>
      <w:r w:rsidR="0625E69D">
        <w:t>this approach</w:t>
      </w:r>
      <w:r w:rsidR="1B51F556">
        <w:t xml:space="preserve"> in Oxford</w:t>
      </w:r>
      <w:r w:rsidR="6791676D">
        <w:t>,</w:t>
      </w:r>
      <w:r w:rsidR="22E075A3">
        <w:t xml:space="preserve"> ensuring </w:t>
      </w:r>
      <w:r w:rsidR="17C486A4">
        <w:t>regulatory</w:t>
      </w:r>
      <w:r w:rsidR="22E075A3">
        <w:t xml:space="preserve"> compliance</w:t>
      </w:r>
      <w:r w:rsidR="22ECFA78">
        <w:t>.</w:t>
      </w:r>
    </w:p>
    <w:p w:rsidRPr="00C62B4E" w:rsidR="00C62B4E" w:rsidP="00C62B4E" w:rsidRDefault="5C65ACBF" w14:paraId="25F0F7E4" w14:textId="646C1401">
      <w:pPr>
        <w:rPr>
          <w:b/>
          <w:bCs/>
        </w:rPr>
      </w:pPr>
      <w:r w:rsidRPr="6026A95D">
        <w:rPr>
          <w:b/>
          <w:bCs/>
        </w:rPr>
        <w:t xml:space="preserve"> Tenant, Registered Provider and Public consultation </w:t>
      </w:r>
    </w:p>
    <w:p w:rsidRPr="002D74F9" w:rsidR="009040E1" w:rsidP="002D74F9" w:rsidRDefault="14A13F0D" w14:paraId="0031574C" w14:textId="168AE821">
      <w:pPr>
        <w:pStyle w:val="ListParagraph"/>
      </w:pPr>
      <w:r>
        <w:t xml:space="preserve">Officers have </w:t>
      </w:r>
      <w:r w:rsidR="3C3271C5">
        <w:t>engaged</w:t>
      </w:r>
      <w:r w:rsidR="29F92CE2">
        <w:t xml:space="preserve"> registered providers, residents </w:t>
      </w:r>
      <w:r w:rsidR="0625E69D">
        <w:t>(</w:t>
      </w:r>
      <w:r w:rsidR="29F92CE2">
        <w:t xml:space="preserve">including </w:t>
      </w:r>
      <w:r w:rsidR="0625E69D">
        <w:t>social</w:t>
      </w:r>
      <w:r w:rsidR="62AE8EAD">
        <w:t xml:space="preserve"> </w:t>
      </w:r>
      <w:r w:rsidR="0625E69D">
        <w:t xml:space="preserve">housing </w:t>
      </w:r>
      <w:r w:rsidR="29F92CE2">
        <w:t>tenants and prospective tenants</w:t>
      </w:r>
      <w:r w:rsidR="0625E69D">
        <w:t>)</w:t>
      </w:r>
      <w:r w:rsidR="29F92CE2">
        <w:t xml:space="preserve"> and the wider public in the development of the </w:t>
      </w:r>
      <w:r w:rsidR="7247DC40">
        <w:t>Tenancy Strategy and Tenancy Policy</w:t>
      </w:r>
      <w:r w:rsidR="29F92CE2">
        <w:t xml:space="preserve">. </w:t>
      </w:r>
    </w:p>
    <w:p w:rsidR="00A074DD" w:rsidP="002D74F9" w:rsidRDefault="0ED4C920" w14:paraId="40CD4152" w14:textId="687A0A4C">
      <w:pPr>
        <w:pStyle w:val="ListParagraph"/>
      </w:pPr>
      <w:r>
        <w:t xml:space="preserve">The Council ran a public consultation from Monday 29 September 2025 to Sunday 26 October 2025 which included the draft Tenancy Strategy and Tenancy Policy alongside a set of questions which focused on gaining insight into the views of registered providers and residents </w:t>
      </w:r>
      <w:r w:rsidR="62AE8EAD">
        <w:t xml:space="preserve">in </w:t>
      </w:r>
      <w:r>
        <w:t xml:space="preserve">key areas of the strategy including security of tenure, rental type, tenancy sustainment, </w:t>
      </w:r>
      <w:proofErr w:type="gramStart"/>
      <w:r w:rsidR="7EFFB460">
        <w:t>etc.</w:t>
      </w:r>
      <w:r>
        <w:t>.</w:t>
      </w:r>
      <w:proofErr w:type="gramEnd"/>
      <w:r>
        <w:t xml:space="preserve"> </w:t>
      </w:r>
    </w:p>
    <w:p w:rsidR="00D760E1" w:rsidRDefault="1B624417" w14:paraId="2B69D486" w14:textId="21E44EE4">
      <w:pPr>
        <w:pStyle w:val="ListParagraph"/>
      </w:pPr>
      <w:r>
        <w:t xml:space="preserve">Officers wrote to all registered providers of social housing in Oxford who are </w:t>
      </w:r>
      <w:r w:rsidR="097B16EA">
        <w:t>participat</w:t>
      </w:r>
      <w:r w:rsidR="3F259D83">
        <w:t>ing</w:t>
      </w:r>
      <w:r w:rsidR="097B16EA">
        <w:t xml:space="preserve"> in</w:t>
      </w:r>
      <w:r>
        <w:t xml:space="preserve"> the Oxford Register </w:t>
      </w:r>
      <w:r w:rsidR="10662D6F">
        <w:t>for</w:t>
      </w:r>
      <w:r>
        <w:t xml:space="preserve"> Affordable Housing (ORAH) partnership</w:t>
      </w:r>
      <w:r w:rsidR="71BA5944">
        <w:t xml:space="preserve">. The Council promoted </w:t>
      </w:r>
      <w:r w:rsidR="097B16EA">
        <w:t xml:space="preserve">the consultation </w:t>
      </w:r>
      <w:r w:rsidR="539948A3">
        <w:t xml:space="preserve">to all </w:t>
      </w:r>
      <w:r w:rsidR="00D6E7B2">
        <w:t>C</w:t>
      </w:r>
      <w:r w:rsidR="539948A3">
        <w:t>ity residents via soci</w:t>
      </w:r>
      <w:r w:rsidR="0D7146E0">
        <w:t>a</w:t>
      </w:r>
      <w:r w:rsidR="539948A3">
        <w:t xml:space="preserve">l media and local press, and specifically </w:t>
      </w:r>
      <w:r w:rsidR="71BA5944">
        <w:t>to Council tenants in the ‘</w:t>
      </w:r>
      <w:r w:rsidR="25F5C34C">
        <w:t>T</w:t>
      </w:r>
      <w:r w:rsidR="49931274">
        <w:t>enant</w:t>
      </w:r>
      <w:r w:rsidR="5890D86A">
        <w:t>s</w:t>
      </w:r>
      <w:r w:rsidR="49931274">
        <w:t xml:space="preserve"> in </w:t>
      </w:r>
      <w:r w:rsidR="6E339AB0">
        <w:t>T</w:t>
      </w:r>
      <w:r w:rsidR="49931274">
        <w:t>ouch</w:t>
      </w:r>
      <w:r w:rsidR="71BA5944">
        <w:t>’</w:t>
      </w:r>
      <w:r w:rsidR="49931274">
        <w:t xml:space="preserve"> </w:t>
      </w:r>
      <w:r w:rsidR="501F5DE0">
        <w:t>newsletter</w:t>
      </w:r>
      <w:r w:rsidR="71BA5944">
        <w:t xml:space="preserve"> </w:t>
      </w:r>
      <w:r w:rsidR="71BA5944">
        <w:lastRenderedPageBreak/>
        <w:t>and engaged Oxford City Councillors through the regular me</w:t>
      </w:r>
      <w:r>
        <w:t>mbers newsletter</w:t>
      </w:r>
      <w:r w:rsidR="71BA5944">
        <w:t xml:space="preserve">. Officers also promoted the consultation </w:t>
      </w:r>
      <w:r w:rsidR="097B16EA">
        <w:t>to housing applicants on the Oxford Register for Affordable Housing via the Council</w:t>
      </w:r>
      <w:r w:rsidR="1B7BC080">
        <w:t>’s</w:t>
      </w:r>
      <w:r w:rsidR="097B16EA">
        <w:t xml:space="preserve"> Choice-Based Lettings website used to advertise and let social housing to new </w:t>
      </w:r>
      <w:r w:rsidR="1B51F556">
        <w:t xml:space="preserve">and existing </w:t>
      </w:r>
      <w:r w:rsidR="097B16EA">
        <w:t>tenants.</w:t>
      </w:r>
    </w:p>
    <w:p w:rsidR="00C23855" w:rsidP="00781A31" w:rsidRDefault="034D288D" w14:paraId="110AE95A" w14:textId="1105589A">
      <w:pPr>
        <w:pStyle w:val="ListParagraph"/>
      </w:pPr>
      <w:r>
        <w:t xml:space="preserve">Officers also engaged </w:t>
      </w:r>
      <w:r w:rsidR="13AF5795">
        <w:t xml:space="preserve">directly </w:t>
      </w:r>
      <w:r>
        <w:t>with</w:t>
      </w:r>
      <w:r w:rsidR="641959AA">
        <w:t xml:space="preserve"> </w:t>
      </w:r>
      <w:r w:rsidR="00C23855">
        <w:t xml:space="preserve">Oxford City </w:t>
      </w:r>
      <w:r w:rsidR="641959AA">
        <w:t>Council</w:t>
      </w:r>
      <w:r>
        <w:t xml:space="preserve"> tenants </w:t>
      </w:r>
      <w:r w:rsidR="13AF5795">
        <w:t>through two on-line focus group sessions</w:t>
      </w:r>
      <w:r w:rsidR="4ED74C13">
        <w:t>.</w:t>
      </w:r>
      <w:r>
        <w:t xml:space="preserve"> </w:t>
      </w:r>
      <w:r w:rsidR="3FE773CE">
        <w:t xml:space="preserve">Through </w:t>
      </w:r>
      <w:r w:rsidR="53DFF02E">
        <w:t>th</w:t>
      </w:r>
      <w:r w:rsidR="3FE773CE">
        <w:t>is</w:t>
      </w:r>
      <w:r w:rsidR="53DFF02E">
        <w:t xml:space="preserve"> </w:t>
      </w:r>
      <w:r w:rsidR="3FE773CE">
        <w:t xml:space="preserve">process </w:t>
      </w:r>
      <w:r w:rsidR="53DFF02E">
        <w:t xml:space="preserve">a summary of the proposed changes were </w:t>
      </w:r>
      <w:r w:rsidR="00AB3FFC">
        <w:t>presented,</w:t>
      </w:r>
      <w:r w:rsidR="53DFF02E">
        <w:t xml:space="preserve"> and the tenants were given the opportunity to discuss the proposals</w:t>
      </w:r>
      <w:r w:rsidR="3FE773CE">
        <w:t xml:space="preserve">, raise any queries </w:t>
      </w:r>
      <w:r w:rsidR="53DFF02E">
        <w:t xml:space="preserve">and </w:t>
      </w:r>
      <w:r w:rsidR="1B51F556">
        <w:t>suggest any changes or improvements</w:t>
      </w:r>
      <w:r w:rsidR="53DFF02E">
        <w:t xml:space="preserve">. </w:t>
      </w:r>
      <w:r w:rsidR="5F85F7AB">
        <w:t xml:space="preserve">Tenants in this process were broadly supportive of the Council’s proposed approach, including on the issuing of lifetime secure tenancies and seeking to offer social rent whenever possible. </w:t>
      </w:r>
    </w:p>
    <w:p w:rsidR="00D760E1" w:rsidP="00781A31" w:rsidRDefault="3FE773CE" w14:paraId="64FF07ED" w14:textId="55860216">
      <w:pPr>
        <w:pStyle w:val="ListParagraph"/>
      </w:pPr>
      <w:proofErr w:type="gramStart"/>
      <w:r>
        <w:t>Taking into account</w:t>
      </w:r>
      <w:proofErr w:type="gramEnd"/>
      <w:r>
        <w:t xml:space="preserve"> </w:t>
      </w:r>
      <w:r w:rsidR="53DFF02E">
        <w:t xml:space="preserve">feedback from the tenants </w:t>
      </w:r>
      <w:r>
        <w:t xml:space="preserve">on suggested improvements </w:t>
      </w:r>
      <w:r w:rsidR="034D288D">
        <w:t>Council Officers have amended the final documents to include clear</w:t>
      </w:r>
      <w:r w:rsidR="1B7BC080">
        <w:t>er</w:t>
      </w:r>
      <w:r w:rsidR="034D288D">
        <w:t xml:space="preserve"> reference </w:t>
      </w:r>
      <w:r w:rsidR="53DFF02E">
        <w:t xml:space="preserve">to other Policies, Strategies, Guidance and Legislation referenced within </w:t>
      </w:r>
      <w:r w:rsidR="1B7BC080">
        <w:t xml:space="preserve">Tenancy Strategy and Tenancy Policy </w:t>
      </w:r>
      <w:r w:rsidR="53DFF02E">
        <w:t xml:space="preserve">and </w:t>
      </w:r>
      <w:r w:rsidR="1B7BC080">
        <w:t xml:space="preserve">the on-line </w:t>
      </w:r>
      <w:r w:rsidR="53DFF02E">
        <w:t>consultation questionnaire</w:t>
      </w:r>
      <w:r>
        <w:t xml:space="preserve"> was </w:t>
      </w:r>
      <w:r w:rsidR="1B7BC080">
        <w:t xml:space="preserve">updated and </w:t>
      </w:r>
      <w:r>
        <w:t xml:space="preserve">made clearer. </w:t>
      </w:r>
    </w:p>
    <w:p w:rsidR="000829DA" w:rsidP="3671A9A7" w:rsidRDefault="5835BC83" w14:paraId="1C2EC612" w14:textId="7428CA23">
      <w:pPr>
        <w:pStyle w:val="ListParagraph"/>
        <w:spacing w:line="259" w:lineRule="auto"/>
        <w:rPr>
          <w:color w:val="000000" w:themeColor="text1"/>
        </w:rPr>
      </w:pPr>
      <w:r>
        <w:t>A</w:t>
      </w:r>
      <w:r w:rsidR="5DE266D2">
        <w:t xml:space="preserve"> detailed report </w:t>
      </w:r>
      <w:r>
        <w:t>of the</w:t>
      </w:r>
      <w:r w:rsidR="0BA5F2DF">
        <w:t xml:space="preserve"> </w:t>
      </w:r>
      <w:r w:rsidR="1B7BC080">
        <w:t xml:space="preserve">on-line consultation </w:t>
      </w:r>
      <w:r w:rsidR="0922A1F3">
        <w:t>is</w:t>
      </w:r>
      <w:r w:rsidR="74CCABC5">
        <w:t xml:space="preserve"> </w:t>
      </w:r>
      <w:r w:rsidR="1B7BC080">
        <w:t xml:space="preserve">included in </w:t>
      </w:r>
      <w:r w:rsidRPr="27597F6B" w:rsidR="1B7BC080">
        <w:rPr>
          <w:b/>
          <w:bCs/>
        </w:rPr>
        <w:t xml:space="preserve">Appendix </w:t>
      </w:r>
      <w:r w:rsidRPr="27597F6B" w:rsidR="1B51F556">
        <w:rPr>
          <w:b/>
          <w:bCs/>
        </w:rPr>
        <w:t>5</w:t>
      </w:r>
      <w:r w:rsidR="0BA5F2DF">
        <w:t xml:space="preserve">. The </w:t>
      </w:r>
      <w:r w:rsidR="37C783B7">
        <w:t xml:space="preserve">questions </w:t>
      </w:r>
      <w:r w:rsidR="3021309C">
        <w:t>covered views on</w:t>
      </w:r>
      <w:r w:rsidR="37C783B7">
        <w:t xml:space="preserve"> the </w:t>
      </w:r>
      <w:r w:rsidR="5B4B5BB3">
        <w:t>objectives of the</w:t>
      </w:r>
      <w:r w:rsidR="0BA5F2DF">
        <w:t xml:space="preserve"> Tenancy Strategy and Policy</w:t>
      </w:r>
      <w:r w:rsidR="2BC0E8AB">
        <w:t>,</w:t>
      </w:r>
      <w:r w:rsidR="5B4B5BB3">
        <w:t xml:space="preserve"> </w:t>
      </w:r>
      <w:r w:rsidR="1931EDED">
        <w:t xml:space="preserve">our strong preference for </w:t>
      </w:r>
      <w:r w:rsidR="304FE804">
        <w:t>lifetime</w:t>
      </w:r>
      <w:r w:rsidR="1931EDED">
        <w:t xml:space="preserve"> </w:t>
      </w:r>
      <w:r w:rsidR="5B4B5BB3">
        <w:t>secure</w:t>
      </w:r>
      <w:r w:rsidR="3A99C29B">
        <w:t>/assured</w:t>
      </w:r>
      <w:r w:rsidR="5B4B5BB3">
        <w:t xml:space="preserve"> tenancies</w:t>
      </w:r>
      <w:r w:rsidR="560FF735">
        <w:t xml:space="preserve"> offered</w:t>
      </w:r>
      <w:r w:rsidR="5B4B5BB3">
        <w:t xml:space="preserve"> at social rent</w:t>
      </w:r>
      <w:r w:rsidR="3E7AA998">
        <w:t xml:space="preserve"> level</w:t>
      </w:r>
      <w:r w:rsidR="37C783B7">
        <w:t xml:space="preserve">, </w:t>
      </w:r>
      <w:r w:rsidR="28FD445D">
        <w:t xml:space="preserve">to </w:t>
      </w:r>
      <w:r w:rsidR="37C783B7">
        <w:t>provide support to tenants to prevent homelessness and help to those affected by Domestic Abuse and ASB. In addition</w:t>
      </w:r>
      <w:r w:rsidR="5F495249">
        <w:t>,</w:t>
      </w:r>
      <w:r w:rsidR="37C783B7">
        <w:t xml:space="preserve"> views were asked on how easy it was to understand the Tenancy Strategy and Policy.</w:t>
      </w:r>
      <w:r w:rsidR="5B4B5BB3">
        <w:t xml:space="preserve">  </w:t>
      </w:r>
    </w:p>
    <w:p w:rsidR="000829DA" w:rsidP="3671A9A7" w:rsidRDefault="5B4B5BB3" w14:paraId="20358DC5" w14:textId="5441774D">
      <w:pPr>
        <w:pStyle w:val="ListParagraph"/>
        <w:spacing w:line="259" w:lineRule="auto"/>
        <w:rPr>
          <w:color w:val="000000" w:themeColor="text1"/>
        </w:rPr>
      </w:pPr>
      <w:r>
        <w:t xml:space="preserve">The </w:t>
      </w:r>
      <w:r w:rsidR="0BA5F2DF">
        <w:t xml:space="preserve">responses </w:t>
      </w:r>
      <w:r>
        <w:t xml:space="preserve">can be split into feedback from </w:t>
      </w:r>
      <w:r w:rsidR="0BA5F2DF">
        <w:t>RPs of Social Housing, O</w:t>
      </w:r>
      <w:r w:rsidR="00566878">
        <w:t xml:space="preserve">xford </w:t>
      </w:r>
      <w:r w:rsidR="0BA5F2DF">
        <w:t>C</w:t>
      </w:r>
      <w:r w:rsidR="00566878">
        <w:t xml:space="preserve">ity </w:t>
      </w:r>
      <w:r w:rsidR="0BA5F2DF">
        <w:t>C</w:t>
      </w:r>
      <w:r w:rsidR="00566878">
        <w:t>ouncil</w:t>
      </w:r>
      <w:r w:rsidR="0BA5F2DF">
        <w:t xml:space="preserve"> Tenants</w:t>
      </w:r>
      <w:r w:rsidR="4B529EE3">
        <w:t xml:space="preserve"> and all </w:t>
      </w:r>
      <w:r w:rsidR="2624ADE8">
        <w:t>r</w:t>
      </w:r>
      <w:r w:rsidR="0BA5F2DF">
        <w:t>espondents</w:t>
      </w:r>
      <w:r w:rsidR="4F1E26DB">
        <w:t xml:space="preserve">. Almost 50% of </w:t>
      </w:r>
      <w:r w:rsidR="71D37FE9">
        <w:t>respondents</w:t>
      </w:r>
      <w:r w:rsidR="4F1E26DB">
        <w:t xml:space="preserve"> were </w:t>
      </w:r>
      <w:r w:rsidR="0DAA3693">
        <w:t>tenants</w:t>
      </w:r>
      <w:r w:rsidR="4F1E26DB">
        <w:t xml:space="preserve"> of the Council</w:t>
      </w:r>
      <w:r w:rsidR="6EF5F669">
        <w:t>,</w:t>
      </w:r>
      <w:r w:rsidR="49E39553">
        <w:t xml:space="preserve"> </w:t>
      </w:r>
      <w:r w:rsidR="477166C5">
        <w:t>key findings from the consultation include</w:t>
      </w:r>
      <w:r>
        <w:t>:</w:t>
      </w:r>
    </w:p>
    <w:p w:rsidR="009B3A14" w:rsidP="009B3A14" w:rsidRDefault="5B4B5BB3" w14:paraId="5AC0C77B" w14:textId="77777777">
      <w:pPr>
        <w:pStyle w:val="ListParagraph"/>
        <w:numPr>
          <w:ilvl w:val="0"/>
          <w:numId w:val="22"/>
        </w:numPr>
      </w:pPr>
      <w:r>
        <w:t>The response</w:t>
      </w:r>
      <w:r w:rsidR="4C285F4E">
        <w:t>s</w:t>
      </w:r>
      <w:r>
        <w:t xml:space="preserve"> from the R</w:t>
      </w:r>
      <w:r w:rsidR="5F495249">
        <w:t>Ps</w:t>
      </w:r>
      <w:r>
        <w:t xml:space="preserve"> all strongly agreed or agreed with </w:t>
      </w:r>
      <w:r w:rsidR="4C285F4E">
        <w:t xml:space="preserve">all </w:t>
      </w:r>
      <w:r>
        <w:t>the proposals</w:t>
      </w:r>
      <w:r w:rsidR="4C285F4E">
        <w:t xml:space="preserve"> and found the Tenancy Strategy and Policy straightforward to understand</w:t>
      </w:r>
      <w:r>
        <w:t xml:space="preserve">. </w:t>
      </w:r>
      <w:proofErr w:type="gramStart"/>
      <w:r>
        <w:t>With the exception of</w:t>
      </w:r>
      <w:proofErr w:type="gramEnd"/>
      <w:r>
        <w:t xml:space="preserve"> one RP wh</w:t>
      </w:r>
      <w:r w:rsidR="5F495249">
        <w:t>ich</w:t>
      </w:r>
      <w:r>
        <w:t xml:space="preserve"> was unsure whether </w:t>
      </w:r>
      <w:r w:rsidR="37C783B7">
        <w:t>lifetime</w:t>
      </w:r>
      <w:r>
        <w:t xml:space="preserve"> tenancies should be issued to all tenants. </w:t>
      </w:r>
    </w:p>
    <w:p w:rsidR="00215D02" w:rsidP="00215D02" w:rsidRDefault="2B99C526" w14:paraId="6AFD933D" w14:textId="77777777">
      <w:pPr>
        <w:pStyle w:val="ListParagraph"/>
        <w:numPr>
          <w:ilvl w:val="0"/>
          <w:numId w:val="22"/>
        </w:numPr>
      </w:pPr>
      <w:r>
        <w:t xml:space="preserve">The responses from Council tenants </w:t>
      </w:r>
      <w:r w:rsidR="0DE3D0DB">
        <w:t xml:space="preserve">also strongly agreed with or agreed with the proposals. The majority also agreed that the Tenancy Strategy and Policy </w:t>
      </w:r>
      <w:r w:rsidR="4A986403">
        <w:t>were</w:t>
      </w:r>
      <w:r w:rsidR="0DE3D0DB">
        <w:t xml:space="preserve"> easy to understand although one disagreed regarding the Tenancy Strategy. Following on from this and feedback from the tenant focus groups this has been reviewed to make it clearer. </w:t>
      </w:r>
    </w:p>
    <w:p w:rsidR="00DD0490" w:rsidP="00215D02" w:rsidRDefault="69259475" w14:paraId="7A40408E" w14:textId="7202A840">
      <w:pPr>
        <w:pStyle w:val="ListParagraph"/>
        <w:numPr>
          <w:ilvl w:val="0"/>
          <w:numId w:val="22"/>
        </w:numPr>
      </w:pPr>
      <w:r>
        <w:t xml:space="preserve">Overall, the majority of all the respondents strongly agreed or agreed with all the proposals within the Tenancy Strategy and Policy and found both straightforward to follow. </w:t>
      </w:r>
      <w:r w:rsidR="011F58E1">
        <w:t xml:space="preserve">Further </w:t>
      </w:r>
      <w:r w:rsidR="15DDBE56">
        <w:t>f</w:t>
      </w:r>
      <w:r>
        <w:t xml:space="preserve">eedback </w:t>
      </w:r>
      <w:r w:rsidR="40626B8C">
        <w:t xml:space="preserve">was </w:t>
      </w:r>
      <w:r w:rsidR="116F2401">
        <w:t xml:space="preserve">also </w:t>
      </w:r>
      <w:r w:rsidR="40626B8C">
        <w:t>r</w:t>
      </w:r>
      <w:r>
        <w:t xml:space="preserve">eceived </w:t>
      </w:r>
      <w:r w:rsidR="203A830E">
        <w:t xml:space="preserve">agreeing with the </w:t>
      </w:r>
      <w:r w:rsidR="73887A5D">
        <w:t>key aims</w:t>
      </w:r>
      <w:r w:rsidR="72ECE42B">
        <w:t xml:space="preserve"> </w:t>
      </w:r>
      <w:r w:rsidR="7F00EB85">
        <w:t>of supporting tenants in their homes</w:t>
      </w:r>
      <w:r w:rsidR="755210C4">
        <w:t xml:space="preserve">, </w:t>
      </w:r>
      <w:r w:rsidR="5336A5AF">
        <w:t xml:space="preserve">regular visits to </w:t>
      </w:r>
      <w:r w:rsidR="70040629">
        <w:t>ensur</w:t>
      </w:r>
      <w:r w:rsidR="77538F55">
        <w:t>e</w:t>
      </w:r>
      <w:r w:rsidR="70040629">
        <w:t xml:space="preserve"> </w:t>
      </w:r>
      <w:r w:rsidR="755210C4">
        <w:t xml:space="preserve">homes were of a decent standard and </w:t>
      </w:r>
      <w:r w:rsidR="16A7E670">
        <w:t xml:space="preserve">keeping </w:t>
      </w:r>
      <w:r w:rsidR="21A07140">
        <w:t xml:space="preserve">in </w:t>
      </w:r>
      <w:r w:rsidR="16A7E670">
        <w:t>contact</w:t>
      </w:r>
      <w:r w:rsidR="26F7D596">
        <w:t xml:space="preserve"> with </w:t>
      </w:r>
      <w:r w:rsidR="16A7E670">
        <w:t>tenants to better understand their needs around health</w:t>
      </w:r>
      <w:r w:rsidR="705C2ABF">
        <w:t xml:space="preserve"> </w:t>
      </w:r>
      <w:r w:rsidR="380906C3">
        <w:t xml:space="preserve">and </w:t>
      </w:r>
      <w:r w:rsidR="705C2ABF">
        <w:t xml:space="preserve">to help </w:t>
      </w:r>
      <w:r w:rsidR="16A7E670">
        <w:t xml:space="preserve">older tenants to move </w:t>
      </w:r>
      <w:r w:rsidR="2C1AEF8D">
        <w:t xml:space="preserve">to smaller more suitable homes </w:t>
      </w:r>
      <w:r w:rsidR="16A7E670">
        <w:t xml:space="preserve">if required. </w:t>
      </w:r>
      <w:r w:rsidR="26F8A523">
        <w:t>D</w:t>
      </w:r>
      <w:r w:rsidR="407F3117">
        <w:t>ealing with ASB was also agreed as a priority</w:t>
      </w:r>
      <w:r w:rsidR="49A95658">
        <w:t xml:space="preserve"> and keeping the Tenancy Strategy and Policy under review to ensure they are kept up to date with any changes in legislation.</w:t>
      </w:r>
    </w:p>
    <w:p w:rsidR="00DD0490" w:rsidP="3671A9A7" w:rsidRDefault="35D4BDC8" w14:paraId="1C7B7EE9" w14:textId="2495BFEC">
      <w:pPr>
        <w:pStyle w:val="ListParagraph"/>
      </w:pPr>
      <w:r>
        <w:t xml:space="preserve">This supports the recommendation to Cabinet to approve the new strategy and policy. </w:t>
      </w:r>
    </w:p>
    <w:p w:rsidR="002312EA" w:rsidP="002B6836" w:rsidRDefault="002312EA" w14:paraId="70635196" w14:textId="1FA92F47">
      <w:pPr>
        <w:pStyle w:val="Heading1"/>
      </w:pPr>
      <w:r>
        <w:lastRenderedPageBreak/>
        <w:t xml:space="preserve"> Options </w:t>
      </w:r>
      <w:r w:rsidR="00024CC0">
        <w:t>c</w:t>
      </w:r>
      <w:r>
        <w:t xml:space="preserve">onsidered </w:t>
      </w:r>
    </w:p>
    <w:p w:rsidR="00870FC8" w:rsidP="6026A95D" w:rsidRDefault="48CDFB65" w14:paraId="0185A7CB" w14:textId="6918F6C3">
      <w:pPr>
        <w:pStyle w:val="bParagraphtext"/>
        <w:numPr>
          <w:ilvl w:val="0"/>
          <w:numId w:val="5"/>
        </w:numPr>
        <w:rPr>
          <w:rFonts w:cs="Arial"/>
          <w:color w:val="auto"/>
        </w:rPr>
      </w:pPr>
      <w:r w:rsidRPr="27597F6B">
        <w:rPr>
          <w:rFonts w:cs="Arial"/>
          <w:color w:val="auto"/>
        </w:rPr>
        <w:t xml:space="preserve">Recommendation – Approve the draft Tenancy Strategy and Tenancy Policy to ensure the </w:t>
      </w:r>
      <w:r w:rsidRPr="27597F6B" w:rsidR="6C0A573E">
        <w:rPr>
          <w:rFonts w:cs="Arial"/>
          <w:color w:val="auto"/>
        </w:rPr>
        <w:t>C</w:t>
      </w:r>
      <w:r w:rsidRPr="27597F6B">
        <w:rPr>
          <w:rFonts w:cs="Arial"/>
          <w:color w:val="auto"/>
        </w:rPr>
        <w:t>ouncil is compliant with current legislation and regulations</w:t>
      </w:r>
      <w:r w:rsidRPr="27597F6B" w:rsidR="30D6BFD0">
        <w:rPr>
          <w:rFonts w:cs="Arial"/>
          <w:color w:val="auto"/>
        </w:rPr>
        <w:t xml:space="preserve"> and </w:t>
      </w:r>
      <w:proofErr w:type="gramStart"/>
      <w:r w:rsidR="00436E5B">
        <w:rPr>
          <w:rFonts w:cs="Arial"/>
          <w:color w:val="auto"/>
        </w:rPr>
        <w:t xml:space="preserve">RPs </w:t>
      </w:r>
      <w:r w:rsidRPr="27597F6B" w:rsidR="30D6BFD0">
        <w:rPr>
          <w:rFonts w:cs="Arial"/>
          <w:color w:val="auto"/>
        </w:rPr>
        <w:t xml:space="preserve"> have</w:t>
      </w:r>
      <w:proofErr w:type="gramEnd"/>
      <w:r w:rsidRPr="27597F6B" w:rsidR="30D6BFD0">
        <w:rPr>
          <w:rFonts w:cs="Arial"/>
          <w:color w:val="auto"/>
        </w:rPr>
        <w:t xml:space="preserve"> a clear </w:t>
      </w:r>
      <w:r w:rsidRPr="27597F6B" w:rsidR="24839E52">
        <w:rPr>
          <w:rFonts w:cs="Arial"/>
          <w:color w:val="auto"/>
        </w:rPr>
        <w:t>decision-making</w:t>
      </w:r>
      <w:r w:rsidRPr="27597F6B" w:rsidR="30D6BFD0">
        <w:rPr>
          <w:rFonts w:cs="Arial"/>
          <w:color w:val="auto"/>
        </w:rPr>
        <w:t xml:space="preserve"> framework related to the issuing of tenancies for new and existing properties.</w:t>
      </w:r>
    </w:p>
    <w:p w:rsidR="00870FC8" w:rsidP="6026A95D" w:rsidRDefault="48CDFB65" w14:paraId="6B8129E2" w14:textId="49980C34">
      <w:pPr>
        <w:pStyle w:val="bParagraphtext"/>
        <w:numPr>
          <w:ilvl w:val="0"/>
          <w:numId w:val="5"/>
        </w:numPr>
        <w:rPr>
          <w:rFonts w:cs="Arial"/>
          <w:color w:val="auto"/>
        </w:rPr>
      </w:pPr>
      <w:r w:rsidRPr="6026A95D">
        <w:rPr>
          <w:rFonts w:cs="Arial"/>
          <w:color w:val="auto"/>
        </w:rPr>
        <w:t xml:space="preserve">Do nothing – Under this option, the Council would not approve the draft Tenancy Strategy and Tenancy Policy. The Council would risk being non-compliant with legislative requirements under key legislation such as the Social Housing Regulations Act and Consumer Standards. </w:t>
      </w:r>
    </w:p>
    <w:p w:rsidRPr="002B6836" w:rsidR="0040736F" w:rsidP="002B6836" w:rsidRDefault="002329CF" w14:paraId="11308776" w14:textId="77777777">
      <w:pPr>
        <w:pStyle w:val="Heading1"/>
      </w:pPr>
      <w:r w:rsidRPr="002B6836">
        <w:t>Financial implications</w:t>
      </w:r>
    </w:p>
    <w:p w:rsidR="00E87F7A" w:rsidP="6026A95D" w:rsidRDefault="000B2A70" w14:paraId="0DC981BA" w14:textId="4B737861">
      <w:pPr>
        <w:pStyle w:val="ListParagraph"/>
        <w:rPr>
          <w:rStyle w:val="bParagraphtextChar"/>
        </w:rPr>
      </w:pPr>
      <w:r w:rsidRPr="6026A95D">
        <w:rPr>
          <w:rStyle w:val="bParagraphtextChar"/>
        </w:rPr>
        <w:t xml:space="preserve">There are no direct financial implications arising from the Tenancy Strategy and Tenancy Policy. </w:t>
      </w:r>
      <w:r w:rsidRPr="6026A95D" w:rsidR="009C6DE6">
        <w:rPr>
          <w:rStyle w:val="bParagraphtextChar"/>
        </w:rPr>
        <w:t xml:space="preserve">The Tenancy Strategy provides a framework for decision making related to </w:t>
      </w:r>
      <w:r w:rsidRPr="6026A95D" w:rsidR="001F2FD8">
        <w:rPr>
          <w:rStyle w:val="bParagraphtextChar"/>
        </w:rPr>
        <w:t>issuing and managing tenancies and aims to encourage partnership working and value for money for residents.</w:t>
      </w:r>
    </w:p>
    <w:p w:rsidRPr="001356F1" w:rsidR="00AB3FFC" w:rsidP="00AB3FFC" w:rsidRDefault="00AB3FFC" w14:paraId="37F02B3E" w14:textId="50B11F2F">
      <w:pPr>
        <w:pStyle w:val="ListParagraph"/>
        <w:rPr>
          <w:rStyle w:val="bParagraphtextChar"/>
        </w:rPr>
      </w:pPr>
      <w:r w:rsidRPr="00AB3FFC">
        <w:t xml:space="preserve">Any subsequent financial implications arising </w:t>
      </w:r>
      <w:proofErr w:type="gramStart"/>
      <w:r w:rsidRPr="00AB3FFC">
        <w:t>as a result of</w:t>
      </w:r>
      <w:proofErr w:type="gramEnd"/>
      <w:r w:rsidRPr="00AB3FFC">
        <w:t xml:space="preserve"> the implementation of this Strategy &amp; Policy document will be formally reported / requested through the appropriate governance processes as and when required</w:t>
      </w:r>
      <w:r w:rsidR="00E04507">
        <w:t>.</w:t>
      </w:r>
    </w:p>
    <w:p w:rsidRPr="001356F1" w:rsidR="0040736F" w:rsidP="004A6D2F" w:rsidRDefault="00DA614B" w14:paraId="06827778" w14:textId="77777777">
      <w:pPr>
        <w:pStyle w:val="Heading1"/>
      </w:pPr>
      <w:r w:rsidRPr="001356F1">
        <w:t>Legal issues</w:t>
      </w:r>
    </w:p>
    <w:p w:rsidR="00D92A86" w:rsidP="00C16B47" w:rsidRDefault="00D92A86" w14:paraId="5ED0C068" w14:textId="2DA8AAEB">
      <w:pPr>
        <w:pStyle w:val="ListParagraph"/>
      </w:pPr>
      <w:r>
        <w:t xml:space="preserve">Local Authorities are required to </w:t>
      </w:r>
      <w:r w:rsidR="00CF44A5">
        <w:t xml:space="preserve">issue and </w:t>
      </w:r>
      <w:r>
        <w:t xml:space="preserve">review their Tenancy Strategies </w:t>
      </w:r>
      <w:r w:rsidR="00CF44A5">
        <w:t>in line with the Localism Act 2011 (sections 150 and 151). Approval of the updated Tenancy Strategy and Tenancy Policy ensure</w:t>
      </w:r>
      <w:r w:rsidR="00F57F6D">
        <w:t>s</w:t>
      </w:r>
      <w:r w:rsidR="00CF44A5">
        <w:t xml:space="preserve"> the Council continues to meet its duties under the Act. </w:t>
      </w:r>
    </w:p>
    <w:p w:rsidRPr="001356F1" w:rsidR="00FE022A" w:rsidP="00F57F6D" w:rsidRDefault="001F3210" w14:paraId="0AE1DEE3" w14:textId="53F5FEC9">
      <w:pPr>
        <w:pStyle w:val="ListParagraph"/>
      </w:pPr>
      <w:r>
        <w:t>The updated documents also ensure compliance and alignment with associated legislation including the Social Housing (Regulations) Act 2023</w:t>
      </w:r>
      <w:r w:rsidR="000435B9">
        <w:t xml:space="preserve"> and Consumer Standards</w:t>
      </w:r>
      <w:r w:rsidR="006B4CEA">
        <w:t xml:space="preserve"> and the</w:t>
      </w:r>
      <w:r>
        <w:t xml:space="preserve"> Housing Act 1996 (as amended) incorporating the Homelessness Reduction </w:t>
      </w:r>
      <w:r w:rsidR="00F57F6D">
        <w:t>A</w:t>
      </w:r>
      <w:r>
        <w:t>ct 2017</w:t>
      </w:r>
      <w:r w:rsidR="006B4CEA">
        <w:t>.</w:t>
      </w:r>
    </w:p>
    <w:p w:rsidR="40C328B7" w:rsidP="54CD0A69" w:rsidRDefault="40C328B7" w14:paraId="0B7DF67D" w14:textId="679ADA4C">
      <w:pPr>
        <w:pStyle w:val="ListParagraph"/>
      </w:pPr>
      <w:r w:rsidRPr="54CD0A69">
        <w:rPr>
          <w:rFonts w:eastAsia="Arial" w:cs="Arial"/>
          <w:color w:val="000000" w:themeColor="text1"/>
        </w:rPr>
        <w:t>The Council’s governance regarding its landlord and strategic housing functions is under review and the monitoring of this strategy may be updated in line with these developments.</w:t>
      </w:r>
    </w:p>
    <w:p w:rsidRPr="001356F1" w:rsidR="002329CF" w:rsidP="004A6D2F" w:rsidRDefault="002329CF" w14:paraId="39265579" w14:textId="77777777">
      <w:pPr>
        <w:pStyle w:val="Heading1"/>
      </w:pPr>
      <w:r>
        <w:t>Level of risk</w:t>
      </w:r>
    </w:p>
    <w:p w:rsidR="3BE68A39" w:rsidP="6026A95D" w:rsidRDefault="3BE68A39" w14:paraId="0060DA79" w14:textId="31296EDD">
      <w:pPr>
        <w:pStyle w:val="ListParagraph"/>
      </w:pPr>
      <w:r>
        <w:t xml:space="preserve">A comprehensive risk register has been completed as part of this report and can be found in </w:t>
      </w:r>
      <w:r w:rsidRPr="6026A95D">
        <w:rPr>
          <w:b/>
          <w:bCs/>
        </w:rPr>
        <w:t>Appendix 4</w:t>
      </w:r>
      <w:r w:rsidR="4E2778C3">
        <w:t>.</w:t>
      </w:r>
    </w:p>
    <w:p w:rsidR="002329CF" w:rsidP="6026A95D" w:rsidRDefault="002329CF" w14:paraId="28E22BA4" w14:textId="4E6ABB5B">
      <w:pPr>
        <w:pStyle w:val="Heading1"/>
      </w:pPr>
      <w:r>
        <w:t>Equalit</w:t>
      </w:r>
      <w:r w:rsidR="00DC6EEF">
        <w:t>y</w:t>
      </w:r>
      <w:r>
        <w:t xml:space="preserve"> impact</w:t>
      </w:r>
    </w:p>
    <w:p w:rsidR="2C1A1370" w:rsidP="6026A95D" w:rsidRDefault="2C1A1370" w14:paraId="5B0D4C01" w14:textId="43B16E1E">
      <w:pPr>
        <w:pStyle w:val="ListParagraph"/>
      </w:pPr>
      <w:r>
        <w:t xml:space="preserve">An Equality Impact Assessment has been completed and can be found in </w:t>
      </w:r>
      <w:r w:rsidRPr="27597F6B">
        <w:rPr>
          <w:b/>
          <w:bCs/>
        </w:rPr>
        <w:t>Appendix 3</w:t>
      </w:r>
      <w:r>
        <w:t>.</w:t>
      </w:r>
    </w:p>
    <w:p w:rsidR="00FB3B71" w:rsidP="00FB3B71" w:rsidRDefault="00950824" w14:paraId="1C46F1C8" w14:textId="23B661DA">
      <w:pPr>
        <w:pStyle w:val="bParagraphtext"/>
        <w:numPr>
          <w:ilvl w:val="0"/>
          <w:numId w:val="0"/>
        </w:numPr>
      </w:pPr>
      <w:bookmarkStart w:name="_Hlk184712246" w:id="0"/>
      <w:r>
        <w:rPr>
          <w:b/>
        </w:rPr>
        <w:t xml:space="preserve">Carbon and Environmental </w:t>
      </w:r>
      <w:r w:rsidR="00024CC0">
        <w:rPr>
          <w:b/>
        </w:rPr>
        <w:t>c</w:t>
      </w:r>
      <w:r>
        <w:rPr>
          <w:b/>
        </w:rPr>
        <w:t>onsiderations</w:t>
      </w:r>
      <w:r w:rsidRPr="00FB3B71" w:rsidR="00FB3B71">
        <w:rPr>
          <w:b/>
        </w:rPr>
        <w:t xml:space="preserve"> </w:t>
      </w:r>
    </w:p>
    <w:bookmarkEnd w:id="0"/>
    <w:p w:rsidR="00AF0C72" w:rsidP="00AF0C72" w:rsidRDefault="6B11D25C" w14:paraId="62845308" w14:textId="3755F5D5">
      <w:pPr>
        <w:pStyle w:val="ListParagraph"/>
      </w:pPr>
      <w:r>
        <w:t xml:space="preserve">The Strategy does not have direct actions </w:t>
      </w:r>
      <w:r w:rsidR="3BB5B299">
        <w:t xml:space="preserve">which relate to carbon and environmental impact. </w:t>
      </w:r>
    </w:p>
    <w:p w:rsidR="00E04507" w:rsidP="00E04507" w:rsidRDefault="00E04507" w14:paraId="61A5AB24" w14:textId="77777777">
      <w:pPr>
        <w:pStyle w:val="ListParagraph"/>
        <w:numPr>
          <w:ilvl w:val="0"/>
          <w:numId w:val="0"/>
        </w:numPr>
        <w:ind w:left="502"/>
      </w:pPr>
    </w:p>
    <w:p w:rsidR="00E04507" w:rsidP="00E04507" w:rsidRDefault="00E04507" w14:paraId="3776199A" w14:textId="77777777">
      <w:pPr>
        <w:pStyle w:val="ListParagraph"/>
        <w:numPr>
          <w:ilvl w:val="0"/>
          <w:numId w:val="0"/>
        </w:numPr>
        <w:ind w:left="502"/>
      </w:pPr>
    </w:p>
    <w:tbl>
      <w:tblPr>
        <w:tblW w:w="0" w:type="auto"/>
        <w:tblInd w:w="108" w:type="dxa"/>
        <w:tblBorders>
          <w:top w:val="single" w:color="C0504D" w:sz="4" w:space="0"/>
          <w:left w:val="single" w:color="C0504D" w:sz="4" w:space="0"/>
          <w:bottom w:val="single" w:color="C0504D" w:sz="4" w:space="0"/>
          <w:right w:val="single" w:color="C0504D" w:sz="4" w:space="0"/>
        </w:tblBorders>
        <w:tblLook w:val="04A0" w:firstRow="1" w:lastRow="0" w:firstColumn="1" w:lastColumn="0" w:noHBand="0" w:noVBand="1"/>
      </w:tblPr>
      <w:tblGrid>
        <w:gridCol w:w="3969"/>
        <w:gridCol w:w="4962"/>
      </w:tblGrid>
      <w:tr w:rsidRPr="001356F1" w:rsidR="00DF093E" w:rsidTr="00A46E98" w14:paraId="0FA94296" w14:textId="77777777">
        <w:trPr>
          <w:cantSplit/>
          <w:trHeight w:val="396"/>
        </w:trPr>
        <w:tc>
          <w:tcPr>
            <w:tcW w:w="3969" w:type="dxa"/>
            <w:tcBorders>
              <w:top w:val="single" w:color="000000" w:sz="8" w:space="0"/>
              <w:left w:val="single" w:color="000000" w:sz="8" w:space="0"/>
              <w:bottom w:val="single" w:color="000000" w:sz="8" w:space="0"/>
              <w:right w:val="nil"/>
            </w:tcBorders>
          </w:tcPr>
          <w:p w:rsidRPr="001356F1" w:rsidR="00E87F7A" w:rsidP="00A46E98" w:rsidRDefault="00E87F7A" w14:paraId="04987E45" w14:textId="77777777">
            <w:pPr>
              <w:rPr>
                <w:b/>
              </w:rPr>
            </w:pPr>
            <w:r w:rsidRPr="001356F1">
              <w:rPr>
                <w:b/>
              </w:rPr>
              <w:lastRenderedPageBreak/>
              <w:t>Report author</w:t>
            </w:r>
          </w:p>
        </w:tc>
        <w:tc>
          <w:tcPr>
            <w:tcW w:w="4962" w:type="dxa"/>
            <w:tcBorders>
              <w:top w:val="single" w:color="000000" w:sz="8" w:space="0"/>
              <w:left w:val="nil"/>
              <w:bottom w:val="single" w:color="000000" w:sz="8" w:space="0"/>
              <w:right w:val="single" w:color="000000" w:sz="8" w:space="0"/>
            </w:tcBorders>
          </w:tcPr>
          <w:p w:rsidRPr="001356F1" w:rsidR="00E87F7A" w:rsidP="00A46E98" w:rsidRDefault="001D123F" w14:paraId="6930C959" w14:textId="6D3A0A91">
            <w:r>
              <w:t>Stephen Cohen</w:t>
            </w:r>
          </w:p>
        </w:tc>
      </w:tr>
      <w:tr w:rsidRPr="001356F1" w:rsidR="00DF093E" w:rsidTr="00A46E98" w14:paraId="07A5B9C2" w14:textId="77777777">
        <w:trPr>
          <w:cantSplit/>
          <w:trHeight w:val="396"/>
        </w:trPr>
        <w:tc>
          <w:tcPr>
            <w:tcW w:w="3969" w:type="dxa"/>
            <w:tcBorders>
              <w:top w:val="single" w:color="000000" w:sz="8" w:space="0"/>
              <w:left w:val="single" w:color="000000" w:sz="8" w:space="0"/>
              <w:bottom w:val="nil"/>
              <w:right w:val="nil"/>
            </w:tcBorders>
          </w:tcPr>
          <w:p w:rsidRPr="001356F1" w:rsidR="00E87F7A" w:rsidP="00A46E98" w:rsidRDefault="00E87F7A" w14:paraId="6B6C3381" w14:textId="77777777">
            <w:r w:rsidRPr="001356F1">
              <w:t>Job title</w:t>
            </w:r>
          </w:p>
        </w:tc>
        <w:tc>
          <w:tcPr>
            <w:tcW w:w="4962" w:type="dxa"/>
            <w:tcBorders>
              <w:top w:val="single" w:color="000000" w:sz="8" w:space="0"/>
              <w:left w:val="nil"/>
              <w:bottom w:val="nil"/>
              <w:right w:val="single" w:color="000000" w:sz="8" w:space="0"/>
            </w:tcBorders>
          </w:tcPr>
          <w:p w:rsidRPr="001356F1" w:rsidR="00E87F7A" w:rsidP="00A46E98" w:rsidRDefault="001D123F" w14:paraId="3100D2DA" w14:textId="3AAFEB99">
            <w:r>
              <w:t xml:space="preserve">Refugee </w:t>
            </w:r>
            <w:r w:rsidR="00A17E91">
              <w:t>and Resettlement Manager</w:t>
            </w:r>
          </w:p>
        </w:tc>
      </w:tr>
      <w:tr w:rsidRPr="001356F1" w:rsidR="00DF093E" w:rsidTr="00A46E98" w14:paraId="6DEB5543" w14:textId="77777777">
        <w:trPr>
          <w:cantSplit/>
          <w:trHeight w:val="396"/>
        </w:trPr>
        <w:tc>
          <w:tcPr>
            <w:tcW w:w="3969" w:type="dxa"/>
            <w:tcBorders>
              <w:top w:val="nil"/>
              <w:left w:val="single" w:color="000000" w:sz="8" w:space="0"/>
              <w:bottom w:val="nil"/>
              <w:right w:val="nil"/>
            </w:tcBorders>
          </w:tcPr>
          <w:p w:rsidRPr="001356F1" w:rsidR="00E87F7A" w:rsidP="00A46E98" w:rsidRDefault="00E87F7A" w14:paraId="7BD402AB" w14:textId="77777777">
            <w:r w:rsidRPr="001356F1">
              <w:t>Service area or department</w:t>
            </w:r>
          </w:p>
        </w:tc>
        <w:tc>
          <w:tcPr>
            <w:tcW w:w="4962" w:type="dxa"/>
            <w:tcBorders>
              <w:top w:val="nil"/>
              <w:left w:val="nil"/>
              <w:bottom w:val="nil"/>
              <w:right w:val="single" w:color="000000" w:sz="8" w:space="0"/>
            </w:tcBorders>
          </w:tcPr>
          <w:p w:rsidRPr="001356F1" w:rsidR="00E87F7A" w:rsidP="00A46E98" w:rsidRDefault="00A17E91" w14:paraId="0F7746FF" w14:textId="27EDD626">
            <w:r>
              <w:t>Housing Services</w:t>
            </w:r>
          </w:p>
        </w:tc>
      </w:tr>
      <w:tr w:rsidRPr="001356F1" w:rsidR="00DF093E" w:rsidTr="00A46E98" w14:paraId="572FB489" w14:textId="77777777">
        <w:trPr>
          <w:cantSplit/>
          <w:trHeight w:val="396"/>
        </w:trPr>
        <w:tc>
          <w:tcPr>
            <w:tcW w:w="3969" w:type="dxa"/>
            <w:tcBorders>
              <w:top w:val="nil"/>
              <w:left w:val="single" w:color="000000" w:sz="8" w:space="0"/>
              <w:bottom w:val="nil"/>
              <w:right w:val="nil"/>
            </w:tcBorders>
          </w:tcPr>
          <w:p w:rsidRPr="001356F1" w:rsidR="00E87F7A" w:rsidP="00A46E98" w:rsidRDefault="00E87F7A" w14:paraId="7832E71E" w14:textId="77777777">
            <w:r w:rsidRPr="001356F1">
              <w:t xml:space="preserve">Telephone </w:t>
            </w:r>
          </w:p>
        </w:tc>
        <w:tc>
          <w:tcPr>
            <w:tcW w:w="4962" w:type="dxa"/>
            <w:tcBorders>
              <w:top w:val="nil"/>
              <w:left w:val="nil"/>
              <w:bottom w:val="nil"/>
              <w:right w:val="single" w:color="000000" w:sz="8" w:space="0"/>
            </w:tcBorders>
          </w:tcPr>
          <w:p w:rsidRPr="001356F1" w:rsidR="00E87F7A" w:rsidP="00A46E98" w:rsidRDefault="00E87F7A" w14:paraId="53D96CCC" w14:textId="35CD8F00">
            <w:r w:rsidRPr="001356F1">
              <w:t xml:space="preserve">01865 </w:t>
            </w:r>
            <w:r w:rsidR="00A17E91">
              <w:t>25 2569</w:t>
            </w:r>
          </w:p>
        </w:tc>
      </w:tr>
      <w:tr w:rsidRPr="001356F1" w:rsidR="005570B5" w:rsidTr="00A46E98" w14:paraId="40AEFD69" w14:textId="77777777">
        <w:trPr>
          <w:cantSplit/>
          <w:trHeight w:val="396"/>
        </w:trPr>
        <w:tc>
          <w:tcPr>
            <w:tcW w:w="3969" w:type="dxa"/>
            <w:tcBorders>
              <w:top w:val="nil"/>
              <w:left w:val="single" w:color="000000" w:sz="8" w:space="0"/>
              <w:bottom w:val="single" w:color="000000" w:sz="8" w:space="0"/>
              <w:right w:val="nil"/>
            </w:tcBorders>
          </w:tcPr>
          <w:p w:rsidRPr="001356F1" w:rsidR="00E87F7A" w:rsidP="00A46E98" w:rsidRDefault="00E87F7A" w14:paraId="5C2DD139" w14:textId="77777777">
            <w:r w:rsidRPr="001356F1">
              <w:t xml:space="preserve">e-mail </w:t>
            </w:r>
          </w:p>
        </w:tc>
        <w:tc>
          <w:tcPr>
            <w:tcW w:w="4962" w:type="dxa"/>
            <w:tcBorders>
              <w:top w:val="nil"/>
              <w:left w:val="nil"/>
              <w:bottom w:val="single" w:color="000000" w:sz="8" w:space="0"/>
              <w:right w:val="single" w:color="000000" w:sz="8" w:space="0"/>
            </w:tcBorders>
          </w:tcPr>
          <w:p w:rsidRPr="001356F1" w:rsidR="00E87F7A" w:rsidP="00A46E98" w:rsidRDefault="00A17E91" w14:paraId="64C04F4C" w14:textId="565F307D">
            <w:pPr>
              <w:rPr>
                <w:rStyle w:val="Hyperlink"/>
                <w:color w:val="000000"/>
              </w:rPr>
            </w:pPr>
            <w:hyperlink w:history="1" r:id="rId12">
              <w:r w:rsidRPr="009433D9">
                <w:rPr>
                  <w:rStyle w:val="Hyperlink"/>
                </w:rPr>
                <w:t>scohen@oxford.gov.uk</w:t>
              </w:r>
            </w:hyperlink>
          </w:p>
        </w:tc>
      </w:tr>
    </w:tbl>
    <w:p w:rsidRPr="001356F1" w:rsidR="00433B96" w:rsidP="004A6D2F" w:rsidRDefault="00433B96" w14:paraId="143C8714" w14:textId="77777777"/>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931"/>
      </w:tblGrid>
      <w:tr w:rsidRPr="001356F1" w:rsidR="00DF093E" w:rsidTr="6026A95D" w14:paraId="12CCF8EE" w14:textId="77777777">
        <w:tc>
          <w:tcPr>
            <w:tcW w:w="8931" w:type="dxa"/>
            <w:tcBorders>
              <w:top w:val="single" w:color="auto" w:sz="4" w:space="0"/>
              <w:left w:val="single" w:color="auto" w:sz="4" w:space="0"/>
              <w:bottom w:val="single" w:color="000000" w:themeColor="text1" w:sz="8" w:space="0"/>
              <w:right w:val="single" w:color="auto" w:sz="4" w:space="0"/>
            </w:tcBorders>
          </w:tcPr>
          <w:p w:rsidRPr="001356F1" w:rsidR="0093067A" w:rsidP="00F41AC1" w:rsidRDefault="282C914F" w14:paraId="61B16C51" w14:textId="226BA202">
            <w:r w:rsidRPr="62B73EE3">
              <w:rPr>
                <w:rStyle w:val="Firstpagetablebold"/>
              </w:rPr>
              <w:t xml:space="preserve">Background Papers: </w:t>
            </w:r>
          </w:p>
          <w:p w:rsidR="003944AB" w:rsidP="00BD6181" w:rsidRDefault="0025424F" w14:paraId="00983C63" w14:textId="46DE3F4A">
            <w:pPr>
              <w:spacing w:line="259" w:lineRule="auto"/>
              <w:rPr>
                <w:rFonts w:eastAsia="Arial" w:cs="Arial"/>
                <w:color w:val="auto"/>
              </w:rPr>
            </w:pPr>
            <w:r>
              <w:rPr>
                <w:rFonts w:eastAsia="Arial" w:cs="Arial"/>
                <w:color w:val="auto"/>
              </w:rPr>
              <w:t xml:space="preserve">1. </w:t>
            </w:r>
            <w:r w:rsidRPr="003944AB" w:rsidR="003944AB">
              <w:rPr>
                <w:rFonts w:eastAsia="Arial" w:cs="Arial"/>
                <w:color w:val="auto"/>
              </w:rPr>
              <w:t xml:space="preserve">Tenancy Strategy and </w:t>
            </w:r>
            <w:r w:rsidR="003944AB">
              <w:rPr>
                <w:rFonts w:eastAsia="Arial" w:cs="Arial"/>
                <w:color w:val="auto"/>
              </w:rPr>
              <w:t>Tenancy Policy 2018 – 2023</w:t>
            </w:r>
          </w:p>
          <w:p w:rsidR="00590087" w:rsidP="00BD6181" w:rsidRDefault="0025424F" w14:paraId="33EA1B28" w14:textId="6A08C464">
            <w:pPr>
              <w:spacing w:line="259" w:lineRule="auto"/>
              <w:rPr>
                <w:rFonts w:eastAsia="Arial" w:cs="Arial"/>
                <w:color w:val="auto"/>
              </w:rPr>
            </w:pPr>
            <w:hyperlink w:history="1" r:id="rId13">
              <w:r>
                <w:rPr>
                  <w:rStyle w:val="Hyperlink"/>
                  <w:rFonts w:eastAsia="Arial" w:cs="Arial"/>
                </w:rPr>
                <w:t>Tenancy Strategy and Tenancy Policy | O</w:t>
              </w:r>
              <w:r>
                <w:rPr>
                  <w:rStyle w:val="Hyperlink"/>
                  <w:rFonts w:eastAsia="Arial" w:cs="Arial"/>
                </w:rPr>
                <w:t>x</w:t>
              </w:r>
              <w:r>
                <w:rPr>
                  <w:rStyle w:val="Hyperlink"/>
                  <w:rFonts w:eastAsia="Arial" w:cs="Arial"/>
                </w:rPr>
                <w:t>ford City Council</w:t>
              </w:r>
            </w:hyperlink>
          </w:p>
          <w:p w:rsidR="0025424F" w:rsidP="00BD6181" w:rsidRDefault="00BC0C45" w14:paraId="0ED6FF46" w14:textId="6620AE5D">
            <w:pPr>
              <w:spacing w:line="259" w:lineRule="auto"/>
              <w:rPr>
                <w:rFonts w:eastAsia="Arial" w:cs="Arial"/>
                <w:color w:val="auto"/>
              </w:rPr>
            </w:pPr>
            <w:r>
              <w:rPr>
                <w:rFonts w:eastAsia="Arial" w:cs="Arial"/>
                <w:color w:val="auto"/>
              </w:rPr>
              <w:t>2. Housing, Homelessness and Rough Sleeping Strategy 2023 - 2028</w:t>
            </w:r>
          </w:p>
          <w:p w:rsidRPr="001356F1" w:rsidR="0093067A" w:rsidP="00BD6181" w:rsidRDefault="00BC0C45" w14:paraId="7116CD40" w14:textId="64C081BE">
            <w:pPr>
              <w:spacing w:line="259" w:lineRule="auto"/>
              <w:rPr>
                <w:rFonts w:eastAsia="Arial" w:cs="Arial"/>
                <w:color w:val="BFBFBF" w:themeColor="background1" w:themeShade="BF"/>
              </w:rPr>
            </w:pPr>
            <w:hyperlink w:history="1" r:id="rId14">
              <w:r>
                <w:rPr>
                  <w:rStyle w:val="Hyperlink"/>
                  <w:rFonts w:eastAsia="Arial" w:cs="Arial"/>
                </w:rPr>
                <w:t>Housing, Homelessness and Rough Sleeping Strat</w:t>
              </w:r>
              <w:r>
                <w:rPr>
                  <w:rStyle w:val="Hyperlink"/>
                  <w:rFonts w:eastAsia="Arial" w:cs="Arial"/>
                </w:rPr>
                <w:t>e</w:t>
              </w:r>
              <w:r>
                <w:rPr>
                  <w:rStyle w:val="Hyperlink"/>
                  <w:rFonts w:eastAsia="Arial" w:cs="Arial"/>
                </w:rPr>
                <w:t>gy 2023 to 2028 | Oxford City Council</w:t>
              </w:r>
            </w:hyperlink>
          </w:p>
        </w:tc>
      </w:tr>
    </w:tbl>
    <w:p w:rsidR="00E04507" w:rsidP="00C85B4E" w:rsidRDefault="00E04507" w14:paraId="126C1506" w14:textId="77777777">
      <w:pPr>
        <w:rPr>
          <w:b/>
          <w:bCs/>
        </w:rPr>
      </w:pPr>
    </w:p>
    <w:p w:rsidRPr="0054712D" w:rsidR="00E04507" w:rsidP="00C85B4E" w:rsidRDefault="00E04507" w14:paraId="48E2DEF0" w14:textId="77777777">
      <w:pPr>
        <w:rPr>
          <w:b/>
        </w:rPr>
      </w:pPr>
    </w:p>
    <w:sectPr w:rsidR="006817AB" w:rsidSect="002B6836">
      <w:headerReference w:type="even" r:id="rId15"/>
      <w:headerReference w:type="default" r:id="rId16"/>
      <w:footerReference w:type="even" r:id="rId17"/>
      <w:footerReference w:type="default" r:id="rId18"/>
      <w:headerReference w:type="first" r:id="rId19"/>
      <w:footerReference w:type="first" r:id="rId20"/>
      <w:pgSz w:w="11906" w:h="16838" w:orient="portrait" w:code="9"/>
      <w:pgMar w:top="1418" w:right="1304" w:bottom="1304" w:left="1304" w:header="113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13061" w:rsidP="004A6D2F" w:rsidRDefault="00113061" w14:paraId="3E4EB6ED" w14:textId="77777777">
      <w:r>
        <w:separator/>
      </w:r>
    </w:p>
  </w:endnote>
  <w:endnote w:type="continuationSeparator" w:id="0">
    <w:p w:rsidR="00113061" w:rsidP="004A6D2F" w:rsidRDefault="00113061" w14:paraId="786E5DE1" w14:textId="77777777">
      <w:r>
        <w:continuationSeparator/>
      </w:r>
    </w:p>
  </w:endnote>
  <w:endnote w:type="continuationNotice" w:id="1">
    <w:p w:rsidR="00113061" w:rsidRDefault="00113061" w14:paraId="542B0BC0" w14:textId="777777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4FAD" w:rsidP="004A6D2F" w:rsidRDefault="00364FAD" w14:paraId="098A7B8B" w14:textId="77777777">
    <w:pPr>
      <w:pStyle w:val="Footer"/>
    </w:pPr>
    <w:r>
      <w:t>Do not use a footer or page numbers.</w:t>
    </w:r>
  </w:p>
  <w:p w:rsidR="00364FAD" w:rsidP="004A6D2F" w:rsidRDefault="00364FAD" w14:paraId="20B2461C" w14:textId="77777777">
    <w:pPr>
      <w:pStyle w:val="Footer"/>
    </w:pPr>
  </w:p>
  <w:p w:rsidR="00364FAD" w:rsidP="004A6D2F" w:rsidRDefault="00364FAD" w14:paraId="7238660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1F19" w:rsidRDefault="00741F19" w14:paraId="048265FC"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1F19" w:rsidRDefault="00741F19" w14:paraId="258ECDE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13061" w:rsidP="004A6D2F" w:rsidRDefault="00113061" w14:paraId="3592248C" w14:textId="77777777">
      <w:r>
        <w:separator/>
      </w:r>
    </w:p>
  </w:footnote>
  <w:footnote w:type="continuationSeparator" w:id="0">
    <w:p w:rsidR="00113061" w:rsidP="004A6D2F" w:rsidRDefault="00113061" w14:paraId="4B5E96A8" w14:textId="77777777">
      <w:r>
        <w:continuationSeparator/>
      </w:r>
    </w:p>
  </w:footnote>
  <w:footnote w:type="continuationNotice" w:id="1">
    <w:p w:rsidR="00113061" w:rsidRDefault="00113061" w14:paraId="0A627F7D" w14:textId="7777777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1F19" w:rsidRDefault="00E04507" w14:paraId="22AC5629" w14:textId="6573A011">
    <w:pPr>
      <w:pStyle w:val="Header"/>
    </w:pPr>
    <w:r>
      <w:rPr>
        <w:noProof/>
      </w:rPr>
      <w:pict w14:anchorId="4B6B10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2580641" style="position:absolute;margin-left:0;margin-top:0;width:468.2pt;height:187.25pt;rotation:315;z-index:-251658239;mso-position-horizontal:center;mso-position-horizontal-relative:margin;mso-position-vertical:center;mso-position-vertical-relative:margin" o:spid="_x0000_s1026" o:allowincell="f" fillcolor="silver" stroked="f" type="#_x0000_t136">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1F19" w:rsidRDefault="00741F19" w14:paraId="6062F78C" w14:textId="3F8CCF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D5547E" w:rsidP="00D5547E" w:rsidRDefault="00E04507" w14:paraId="4A0D1F7F" w14:textId="0CDE7B4F">
    <w:pPr>
      <w:pStyle w:val="Header"/>
      <w:jc w:val="right"/>
    </w:pPr>
    <w:r w:rsidR="00C05260">
      <w:rPr>
        <w:noProof/>
      </w:rPr>
      <w:drawing>
        <wp:inline distT="0" distB="0" distL="0" distR="0" wp14:anchorId="35341002" wp14:editId="2956E09D">
          <wp:extent cx="838200" cy="1119505"/>
          <wp:effectExtent l="0" t="0" r="0" b="4445"/>
          <wp:docPr id="1" name="Picture 1" title="Oxford Ci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cc_bl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1119505"/>
                  </a:xfrm>
                  <a:prstGeom prst="rect">
                    <a:avLst/>
                  </a:prstGeom>
                  <a:noFill/>
                  <a:ln>
                    <a:noFill/>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C34B5"/>
    <w:multiLevelType w:val="hybridMultilevel"/>
    <w:tmpl w:val="7C1A7C8A"/>
    <w:lvl w:ilvl="0" w:tplc="5AF4C43C">
      <w:start w:val="1"/>
      <w:numFmt w:val="decimal"/>
      <w:lvlText w:val="%1."/>
      <w:lvlJc w:val="left"/>
      <w:pPr>
        <w:ind w:left="720" w:hanging="360"/>
      </w:pPr>
    </w:lvl>
    <w:lvl w:ilvl="1" w:tplc="A6B0599C">
      <w:start w:val="1"/>
      <w:numFmt w:val="lowerLetter"/>
      <w:lvlText w:val="%2."/>
      <w:lvlJc w:val="left"/>
      <w:pPr>
        <w:ind w:left="1440" w:hanging="360"/>
      </w:pPr>
    </w:lvl>
    <w:lvl w:ilvl="2" w:tplc="305484E4">
      <w:start w:val="1"/>
      <w:numFmt w:val="lowerRoman"/>
      <w:lvlText w:val="%3."/>
      <w:lvlJc w:val="right"/>
      <w:pPr>
        <w:ind w:left="2160" w:hanging="180"/>
      </w:pPr>
    </w:lvl>
    <w:lvl w:ilvl="3" w:tplc="984AD4C0">
      <w:start w:val="1"/>
      <w:numFmt w:val="decimal"/>
      <w:lvlText w:val="%4."/>
      <w:lvlJc w:val="left"/>
      <w:pPr>
        <w:ind w:left="2880" w:hanging="360"/>
      </w:pPr>
    </w:lvl>
    <w:lvl w:ilvl="4" w:tplc="75BE9D56">
      <w:start w:val="1"/>
      <w:numFmt w:val="lowerLetter"/>
      <w:lvlText w:val="%5."/>
      <w:lvlJc w:val="left"/>
      <w:pPr>
        <w:ind w:left="3600" w:hanging="360"/>
      </w:pPr>
    </w:lvl>
    <w:lvl w:ilvl="5" w:tplc="665EA86C">
      <w:start w:val="1"/>
      <w:numFmt w:val="lowerRoman"/>
      <w:lvlText w:val="%6."/>
      <w:lvlJc w:val="right"/>
      <w:pPr>
        <w:ind w:left="4320" w:hanging="180"/>
      </w:pPr>
    </w:lvl>
    <w:lvl w:ilvl="6" w:tplc="D5E6746A">
      <w:start w:val="1"/>
      <w:numFmt w:val="decimal"/>
      <w:lvlText w:val="%7."/>
      <w:lvlJc w:val="left"/>
      <w:pPr>
        <w:ind w:left="5040" w:hanging="360"/>
      </w:pPr>
    </w:lvl>
    <w:lvl w:ilvl="7" w:tplc="912E011E">
      <w:start w:val="1"/>
      <w:numFmt w:val="lowerLetter"/>
      <w:lvlText w:val="%8."/>
      <w:lvlJc w:val="left"/>
      <w:pPr>
        <w:ind w:left="5760" w:hanging="360"/>
      </w:pPr>
    </w:lvl>
    <w:lvl w:ilvl="8" w:tplc="32900DB4">
      <w:start w:val="1"/>
      <w:numFmt w:val="lowerRoman"/>
      <w:lvlText w:val="%9."/>
      <w:lvlJc w:val="right"/>
      <w:pPr>
        <w:ind w:left="6480" w:hanging="180"/>
      </w:pPr>
    </w:lvl>
  </w:abstractNum>
  <w:abstractNum w:abstractNumId="1" w15:restartNumberingAfterBreak="0">
    <w:nsid w:val="038C30BB"/>
    <w:multiLevelType w:val="multilevel"/>
    <w:tmpl w:val="E67CE66C"/>
    <w:styleLink w:val="StyleNumberedLeft0cmHanging075cm"/>
    <w:lvl w:ilvl="0">
      <w:start w:val="1"/>
      <w:numFmt w:val="decimal"/>
      <w:lvlText w:val="%1."/>
      <w:lvlJc w:val="left"/>
      <w:pPr>
        <w:ind w:left="360" w:hanging="360"/>
      </w:pPr>
      <w:rPr>
        <w:rFonts w:ascii="Arial" w:hAnsi="Arial"/>
        <w:color w:val="000000"/>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3CF5C54"/>
    <w:multiLevelType w:val="multilevel"/>
    <w:tmpl w:val="43D6D2FA"/>
    <w:styleLink w:val="StyleBulletedSymbolsymbolLeft063cmHanging063cm"/>
    <w:lvl w:ilvl="0">
      <w:start w:val="1"/>
      <w:numFmt w:val="bullet"/>
      <w:lvlText w:val=""/>
      <w:lvlJc w:val="left"/>
      <w:pPr>
        <w:ind w:left="720" w:hanging="360"/>
      </w:pPr>
      <w:rPr>
        <w:rFonts w:ascii="Symbol" w:hAnsi="Symbol"/>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6EFA223"/>
    <w:multiLevelType w:val="hybridMultilevel"/>
    <w:tmpl w:val="25CA2104"/>
    <w:lvl w:ilvl="0" w:tplc="1A80E17C">
      <w:start w:val="20"/>
      <w:numFmt w:val="decimal"/>
      <w:lvlText w:val="%1."/>
      <w:lvlJc w:val="left"/>
      <w:pPr>
        <w:ind w:left="360" w:hanging="360"/>
      </w:pPr>
    </w:lvl>
    <w:lvl w:ilvl="1" w:tplc="DD824784">
      <w:start w:val="1"/>
      <w:numFmt w:val="lowerLetter"/>
      <w:lvlText w:val="%2."/>
      <w:lvlJc w:val="left"/>
      <w:pPr>
        <w:ind w:left="1080" w:hanging="360"/>
      </w:pPr>
    </w:lvl>
    <w:lvl w:ilvl="2" w:tplc="E7E265AE">
      <w:start w:val="1"/>
      <w:numFmt w:val="lowerRoman"/>
      <w:lvlText w:val="%3."/>
      <w:lvlJc w:val="right"/>
      <w:pPr>
        <w:ind w:left="1800" w:hanging="180"/>
      </w:pPr>
    </w:lvl>
    <w:lvl w:ilvl="3" w:tplc="5C82623E">
      <w:start w:val="1"/>
      <w:numFmt w:val="decimal"/>
      <w:lvlText w:val="%4."/>
      <w:lvlJc w:val="left"/>
      <w:pPr>
        <w:ind w:left="2520" w:hanging="360"/>
      </w:pPr>
    </w:lvl>
    <w:lvl w:ilvl="4" w:tplc="4316183A">
      <w:start w:val="1"/>
      <w:numFmt w:val="lowerLetter"/>
      <w:lvlText w:val="%5."/>
      <w:lvlJc w:val="left"/>
      <w:pPr>
        <w:ind w:left="3240" w:hanging="360"/>
      </w:pPr>
    </w:lvl>
    <w:lvl w:ilvl="5" w:tplc="C6842C14">
      <w:start w:val="1"/>
      <w:numFmt w:val="lowerRoman"/>
      <w:lvlText w:val="%6."/>
      <w:lvlJc w:val="right"/>
      <w:pPr>
        <w:ind w:left="3960" w:hanging="180"/>
      </w:pPr>
    </w:lvl>
    <w:lvl w:ilvl="6" w:tplc="82B26004">
      <w:start w:val="1"/>
      <w:numFmt w:val="decimal"/>
      <w:lvlText w:val="%7."/>
      <w:lvlJc w:val="left"/>
      <w:pPr>
        <w:ind w:left="4680" w:hanging="360"/>
      </w:pPr>
    </w:lvl>
    <w:lvl w:ilvl="7" w:tplc="0E96EB98">
      <w:start w:val="1"/>
      <w:numFmt w:val="lowerLetter"/>
      <w:lvlText w:val="%8."/>
      <w:lvlJc w:val="left"/>
      <w:pPr>
        <w:ind w:left="5400" w:hanging="360"/>
      </w:pPr>
    </w:lvl>
    <w:lvl w:ilvl="8" w:tplc="BE02E6E8">
      <w:start w:val="1"/>
      <w:numFmt w:val="lowerRoman"/>
      <w:lvlText w:val="%9."/>
      <w:lvlJc w:val="right"/>
      <w:pPr>
        <w:ind w:left="6120" w:hanging="180"/>
      </w:pPr>
    </w:lvl>
  </w:abstractNum>
  <w:abstractNum w:abstractNumId="4" w15:restartNumberingAfterBreak="0">
    <w:nsid w:val="16ED53A2"/>
    <w:multiLevelType w:val="hybridMultilevel"/>
    <w:tmpl w:val="8D3007E8"/>
    <w:lvl w:ilvl="0" w:tplc="8D941294">
      <w:start w:val="18"/>
      <w:numFmt w:val="decimal"/>
      <w:lvlText w:val="%1."/>
      <w:lvlJc w:val="left"/>
      <w:pPr>
        <w:ind w:left="360" w:hanging="360"/>
      </w:pPr>
    </w:lvl>
    <w:lvl w:ilvl="1" w:tplc="29002B4E">
      <w:start w:val="1"/>
      <w:numFmt w:val="lowerLetter"/>
      <w:lvlText w:val="%2."/>
      <w:lvlJc w:val="left"/>
      <w:pPr>
        <w:ind w:left="1080" w:hanging="360"/>
      </w:pPr>
    </w:lvl>
    <w:lvl w:ilvl="2" w:tplc="9D94E806">
      <w:start w:val="1"/>
      <w:numFmt w:val="lowerRoman"/>
      <w:lvlText w:val="%3."/>
      <w:lvlJc w:val="right"/>
      <w:pPr>
        <w:ind w:left="1800" w:hanging="180"/>
      </w:pPr>
    </w:lvl>
    <w:lvl w:ilvl="3" w:tplc="CF0CB1CE">
      <w:start w:val="1"/>
      <w:numFmt w:val="decimal"/>
      <w:lvlText w:val="%4."/>
      <w:lvlJc w:val="left"/>
      <w:pPr>
        <w:ind w:left="2520" w:hanging="360"/>
      </w:pPr>
    </w:lvl>
    <w:lvl w:ilvl="4" w:tplc="ADD2F7B8">
      <w:start w:val="1"/>
      <w:numFmt w:val="lowerLetter"/>
      <w:lvlText w:val="%5."/>
      <w:lvlJc w:val="left"/>
      <w:pPr>
        <w:ind w:left="3240" w:hanging="360"/>
      </w:pPr>
    </w:lvl>
    <w:lvl w:ilvl="5" w:tplc="001A51F4">
      <w:start w:val="1"/>
      <w:numFmt w:val="lowerRoman"/>
      <w:lvlText w:val="%6."/>
      <w:lvlJc w:val="right"/>
      <w:pPr>
        <w:ind w:left="3960" w:hanging="180"/>
      </w:pPr>
    </w:lvl>
    <w:lvl w:ilvl="6" w:tplc="6D00F4F2">
      <w:start w:val="1"/>
      <w:numFmt w:val="decimal"/>
      <w:lvlText w:val="%7."/>
      <w:lvlJc w:val="left"/>
      <w:pPr>
        <w:ind w:left="4680" w:hanging="360"/>
      </w:pPr>
    </w:lvl>
    <w:lvl w:ilvl="7" w:tplc="9A4CDFC4">
      <w:start w:val="1"/>
      <w:numFmt w:val="lowerLetter"/>
      <w:lvlText w:val="%8."/>
      <w:lvlJc w:val="left"/>
      <w:pPr>
        <w:ind w:left="5400" w:hanging="360"/>
      </w:pPr>
    </w:lvl>
    <w:lvl w:ilvl="8" w:tplc="F5704F20">
      <w:start w:val="1"/>
      <w:numFmt w:val="lowerRoman"/>
      <w:lvlText w:val="%9."/>
      <w:lvlJc w:val="right"/>
      <w:pPr>
        <w:ind w:left="6120" w:hanging="180"/>
      </w:pPr>
    </w:lvl>
  </w:abstractNum>
  <w:abstractNum w:abstractNumId="5" w15:restartNumberingAfterBreak="0">
    <w:nsid w:val="1D7A9326"/>
    <w:multiLevelType w:val="hybridMultilevel"/>
    <w:tmpl w:val="502E7622"/>
    <w:lvl w:ilvl="0" w:tplc="656A03F6">
      <w:start w:val="1"/>
      <w:numFmt w:val="decimal"/>
      <w:lvlText w:val="%1."/>
      <w:lvlJc w:val="left"/>
      <w:pPr>
        <w:ind w:left="720" w:hanging="360"/>
      </w:pPr>
    </w:lvl>
    <w:lvl w:ilvl="1" w:tplc="4C7A5E9A">
      <w:start w:val="1"/>
      <w:numFmt w:val="lowerLetter"/>
      <w:lvlText w:val="%2."/>
      <w:lvlJc w:val="left"/>
      <w:pPr>
        <w:ind w:left="1440" w:hanging="360"/>
      </w:pPr>
    </w:lvl>
    <w:lvl w:ilvl="2" w:tplc="B8A665F4">
      <w:start w:val="1"/>
      <w:numFmt w:val="lowerRoman"/>
      <w:lvlText w:val="%3."/>
      <w:lvlJc w:val="right"/>
      <w:pPr>
        <w:ind w:left="2160" w:hanging="180"/>
      </w:pPr>
    </w:lvl>
    <w:lvl w:ilvl="3" w:tplc="B134AF06">
      <w:start w:val="1"/>
      <w:numFmt w:val="decimal"/>
      <w:lvlText w:val="%4."/>
      <w:lvlJc w:val="left"/>
      <w:pPr>
        <w:ind w:left="2880" w:hanging="360"/>
      </w:pPr>
    </w:lvl>
    <w:lvl w:ilvl="4" w:tplc="FACC2E0E">
      <w:start w:val="1"/>
      <w:numFmt w:val="lowerLetter"/>
      <w:lvlText w:val="%5."/>
      <w:lvlJc w:val="left"/>
      <w:pPr>
        <w:ind w:left="3600" w:hanging="360"/>
      </w:pPr>
    </w:lvl>
    <w:lvl w:ilvl="5" w:tplc="43CEBFE4">
      <w:start w:val="1"/>
      <w:numFmt w:val="lowerRoman"/>
      <w:lvlText w:val="%6."/>
      <w:lvlJc w:val="right"/>
      <w:pPr>
        <w:ind w:left="4320" w:hanging="180"/>
      </w:pPr>
    </w:lvl>
    <w:lvl w:ilvl="6" w:tplc="2D2A19A4">
      <w:start w:val="1"/>
      <w:numFmt w:val="decimal"/>
      <w:lvlText w:val="%7."/>
      <w:lvlJc w:val="left"/>
      <w:pPr>
        <w:ind w:left="5040" w:hanging="360"/>
      </w:pPr>
    </w:lvl>
    <w:lvl w:ilvl="7" w:tplc="F4562BB4">
      <w:start w:val="1"/>
      <w:numFmt w:val="lowerLetter"/>
      <w:lvlText w:val="%8."/>
      <w:lvlJc w:val="left"/>
      <w:pPr>
        <w:ind w:left="5760" w:hanging="360"/>
      </w:pPr>
    </w:lvl>
    <w:lvl w:ilvl="8" w:tplc="01FC8A10">
      <w:start w:val="1"/>
      <w:numFmt w:val="lowerRoman"/>
      <w:lvlText w:val="%9."/>
      <w:lvlJc w:val="right"/>
      <w:pPr>
        <w:ind w:left="6480" w:hanging="180"/>
      </w:pPr>
    </w:lvl>
  </w:abstractNum>
  <w:abstractNum w:abstractNumId="6" w15:restartNumberingAfterBreak="0">
    <w:nsid w:val="20980FC5"/>
    <w:multiLevelType w:val="hybridMultilevel"/>
    <w:tmpl w:val="5B36B17E"/>
    <w:lvl w:ilvl="0" w:tplc="AFA25F0A">
      <w:start w:val="1"/>
      <w:numFmt w:val="bullet"/>
      <w:pStyle w:val="Bulletpoints"/>
      <w:lvlText w:val=""/>
      <w:lvlJc w:val="left"/>
      <w:pPr>
        <w:ind w:left="1080" w:hanging="360"/>
      </w:pPr>
      <w:rPr>
        <w:rFonts w:hint="default" w:ascii="Symbol" w:hAnsi="Symbol"/>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B051609"/>
    <w:multiLevelType w:val="hybridMultilevel"/>
    <w:tmpl w:val="2BA25E34"/>
    <w:lvl w:ilvl="0" w:tplc="08090001">
      <w:start w:val="1"/>
      <w:numFmt w:val="bullet"/>
      <w:lvlText w:val=""/>
      <w:lvlJc w:val="left"/>
      <w:pPr>
        <w:ind w:left="862" w:hanging="360"/>
      </w:pPr>
      <w:rPr>
        <w:rFonts w:hint="default" w:ascii="Symbol" w:hAnsi="Symbol"/>
      </w:rPr>
    </w:lvl>
    <w:lvl w:ilvl="1" w:tplc="08090003" w:tentative="1">
      <w:start w:val="1"/>
      <w:numFmt w:val="bullet"/>
      <w:lvlText w:val="o"/>
      <w:lvlJc w:val="left"/>
      <w:pPr>
        <w:ind w:left="1582" w:hanging="360"/>
      </w:pPr>
      <w:rPr>
        <w:rFonts w:hint="default" w:ascii="Courier New" w:hAnsi="Courier New" w:cs="Courier New"/>
      </w:rPr>
    </w:lvl>
    <w:lvl w:ilvl="2" w:tplc="08090005" w:tentative="1">
      <w:start w:val="1"/>
      <w:numFmt w:val="bullet"/>
      <w:lvlText w:val=""/>
      <w:lvlJc w:val="left"/>
      <w:pPr>
        <w:ind w:left="2302" w:hanging="360"/>
      </w:pPr>
      <w:rPr>
        <w:rFonts w:hint="default" w:ascii="Wingdings" w:hAnsi="Wingdings"/>
      </w:rPr>
    </w:lvl>
    <w:lvl w:ilvl="3" w:tplc="08090001" w:tentative="1">
      <w:start w:val="1"/>
      <w:numFmt w:val="bullet"/>
      <w:lvlText w:val=""/>
      <w:lvlJc w:val="left"/>
      <w:pPr>
        <w:ind w:left="3022" w:hanging="360"/>
      </w:pPr>
      <w:rPr>
        <w:rFonts w:hint="default" w:ascii="Symbol" w:hAnsi="Symbol"/>
      </w:rPr>
    </w:lvl>
    <w:lvl w:ilvl="4" w:tplc="08090003" w:tentative="1">
      <w:start w:val="1"/>
      <w:numFmt w:val="bullet"/>
      <w:lvlText w:val="o"/>
      <w:lvlJc w:val="left"/>
      <w:pPr>
        <w:ind w:left="3742" w:hanging="360"/>
      </w:pPr>
      <w:rPr>
        <w:rFonts w:hint="default" w:ascii="Courier New" w:hAnsi="Courier New" w:cs="Courier New"/>
      </w:rPr>
    </w:lvl>
    <w:lvl w:ilvl="5" w:tplc="08090005" w:tentative="1">
      <w:start w:val="1"/>
      <w:numFmt w:val="bullet"/>
      <w:lvlText w:val=""/>
      <w:lvlJc w:val="left"/>
      <w:pPr>
        <w:ind w:left="4462" w:hanging="360"/>
      </w:pPr>
      <w:rPr>
        <w:rFonts w:hint="default" w:ascii="Wingdings" w:hAnsi="Wingdings"/>
      </w:rPr>
    </w:lvl>
    <w:lvl w:ilvl="6" w:tplc="08090001" w:tentative="1">
      <w:start w:val="1"/>
      <w:numFmt w:val="bullet"/>
      <w:lvlText w:val=""/>
      <w:lvlJc w:val="left"/>
      <w:pPr>
        <w:ind w:left="5182" w:hanging="360"/>
      </w:pPr>
      <w:rPr>
        <w:rFonts w:hint="default" w:ascii="Symbol" w:hAnsi="Symbol"/>
      </w:rPr>
    </w:lvl>
    <w:lvl w:ilvl="7" w:tplc="08090003" w:tentative="1">
      <w:start w:val="1"/>
      <w:numFmt w:val="bullet"/>
      <w:lvlText w:val="o"/>
      <w:lvlJc w:val="left"/>
      <w:pPr>
        <w:ind w:left="5902" w:hanging="360"/>
      </w:pPr>
      <w:rPr>
        <w:rFonts w:hint="default" w:ascii="Courier New" w:hAnsi="Courier New" w:cs="Courier New"/>
      </w:rPr>
    </w:lvl>
    <w:lvl w:ilvl="8" w:tplc="08090005" w:tentative="1">
      <w:start w:val="1"/>
      <w:numFmt w:val="bullet"/>
      <w:lvlText w:val=""/>
      <w:lvlJc w:val="left"/>
      <w:pPr>
        <w:ind w:left="6622" w:hanging="360"/>
      </w:pPr>
      <w:rPr>
        <w:rFonts w:hint="default" w:ascii="Wingdings" w:hAnsi="Wingdings"/>
      </w:rPr>
    </w:lvl>
  </w:abstractNum>
  <w:abstractNum w:abstractNumId="8" w15:restartNumberingAfterBreak="0">
    <w:nsid w:val="342DA628"/>
    <w:multiLevelType w:val="hybridMultilevel"/>
    <w:tmpl w:val="D92ACB8C"/>
    <w:lvl w:ilvl="0" w:tplc="2DE2837A">
      <w:start w:val="1"/>
      <w:numFmt w:val="bullet"/>
      <w:lvlText w:val=""/>
      <w:lvlJc w:val="left"/>
      <w:pPr>
        <w:ind w:left="1080" w:hanging="360"/>
      </w:pPr>
      <w:rPr>
        <w:rFonts w:hint="default" w:ascii="Symbol" w:hAnsi="Symbol"/>
      </w:rPr>
    </w:lvl>
    <w:lvl w:ilvl="1" w:tplc="7EBE9FC6">
      <w:start w:val="1"/>
      <w:numFmt w:val="bullet"/>
      <w:lvlText w:val="o"/>
      <w:lvlJc w:val="left"/>
      <w:pPr>
        <w:ind w:left="1800" w:hanging="360"/>
      </w:pPr>
      <w:rPr>
        <w:rFonts w:hint="default" w:ascii="Courier New" w:hAnsi="Courier New"/>
      </w:rPr>
    </w:lvl>
    <w:lvl w:ilvl="2" w:tplc="DF60E626">
      <w:start w:val="1"/>
      <w:numFmt w:val="bullet"/>
      <w:lvlText w:val=""/>
      <w:lvlJc w:val="left"/>
      <w:pPr>
        <w:ind w:left="2520" w:hanging="360"/>
      </w:pPr>
      <w:rPr>
        <w:rFonts w:hint="default" w:ascii="Wingdings" w:hAnsi="Wingdings"/>
      </w:rPr>
    </w:lvl>
    <w:lvl w:ilvl="3" w:tplc="D2D26F32">
      <w:start w:val="1"/>
      <w:numFmt w:val="bullet"/>
      <w:lvlText w:val=""/>
      <w:lvlJc w:val="left"/>
      <w:pPr>
        <w:ind w:left="3240" w:hanging="360"/>
      </w:pPr>
      <w:rPr>
        <w:rFonts w:hint="default" w:ascii="Symbol" w:hAnsi="Symbol"/>
      </w:rPr>
    </w:lvl>
    <w:lvl w:ilvl="4" w:tplc="61A6BC6A">
      <w:start w:val="1"/>
      <w:numFmt w:val="bullet"/>
      <w:lvlText w:val="o"/>
      <w:lvlJc w:val="left"/>
      <w:pPr>
        <w:ind w:left="3960" w:hanging="360"/>
      </w:pPr>
      <w:rPr>
        <w:rFonts w:hint="default" w:ascii="Courier New" w:hAnsi="Courier New"/>
      </w:rPr>
    </w:lvl>
    <w:lvl w:ilvl="5" w:tplc="A4BAE860">
      <w:start w:val="1"/>
      <w:numFmt w:val="bullet"/>
      <w:lvlText w:val=""/>
      <w:lvlJc w:val="left"/>
      <w:pPr>
        <w:ind w:left="4680" w:hanging="360"/>
      </w:pPr>
      <w:rPr>
        <w:rFonts w:hint="default" w:ascii="Wingdings" w:hAnsi="Wingdings"/>
      </w:rPr>
    </w:lvl>
    <w:lvl w:ilvl="6" w:tplc="474A629E">
      <w:start w:val="1"/>
      <w:numFmt w:val="bullet"/>
      <w:lvlText w:val=""/>
      <w:lvlJc w:val="left"/>
      <w:pPr>
        <w:ind w:left="5400" w:hanging="360"/>
      </w:pPr>
      <w:rPr>
        <w:rFonts w:hint="default" w:ascii="Symbol" w:hAnsi="Symbol"/>
      </w:rPr>
    </w:lvl>
    <w:lvl w:ilvl="7" w:tplc="9E165710">
      <w:start w:val="1"/>
      <w:numFmt w:val="bullet"/>
      <w:lvlText w:val="o"/>
      <w:lvlJc w:val="left"/>
      <w:pPr>
        <w:ind w:left="6120" w:hanging="360"/>
      </w:pPr>
      <w:rPr>
        <w:rFonts w:hint="default" w:ascii="Courier New" w:hAnsi="Courier New"/>
      </w:rPr>
    </w:lvl>
    <w:lvl w:ilvl="8" w:tplc="66183DCA">
      <w:start w:val="1"/>
      <w:numFmt w:val="bullet"/>
      <w:lvlText w:val=""/>
      <w:lvlJc w:val="left"/>
      <w:pPr>
        <w:ind w:left="6840" w:hanging="360"/>
      </w:pPr>
      <w:rPr>
        <w:rFonts w:hint="default" w:ascii="Wingdings" w:hAnsi="Wingdings"/>
      </w:rPr>
    </w:lvl>
  </w:abstractNum>
  <w:abstractNum w:abstractNumId="9" w15:restartNumberingAfterBreak="0">
    <w:nsid w:val="35FECE7E"/>
    <w:multiLevelType w:val="hybridMultilevel"/>
    <w:tmpl w:val="9FF4D22A"/>
    <w:lvl w:ilvl="0" w:tplc="240C47A6">
      <w:start w:val="1"/>
      <w:numFmt w:val="decimal"/>
      <w:lvlText w:val="%1."/>
      <w:lvlJc w:val="left"/>
      <w:pPr>
        <w:ind w:left="720" w:hanging="360"/>
      </w:pPr>
    </w:lvl>
    <w:lvl w:ilvl="1" w:tplc="11EE2C9C">
      <w:start w:val="1"/>
      <w:numFmt w:val="lowerLetter"/>
      <w:lvlText w:val="%2."/>
      <w:lvlJc w:val="left"/>
      <w:pPr>
        <w:ind w:left="1440" w:hanging="360"/>
      </w:pPr>
    </w:lvl>
    <w:lvl w:ilvl="2" w:tplc="E9A60C32">
      <w:start w:val="1"/>
      <w:numFmt w:val="lowerRoman"/>
      <w:lvlText w:val="%3."/>
      <w:lvlJc w:val="right"/>
      <w:pPr>
        <w:ind w:left="2160" w:hanging="180"/>
      </w:pPr>
    </w:lvl>
    <w:lvl w:ilvl="3" w:tplc="51AA5FF0">
      <w:start w:val="1"/>
      <w:numFmt w:val="decimal"/>
      <w:lvlText w:val="%4."/>
      <w:lvlJc w:val="left"/>
      <w:pPr>
        <w:ind w:left="2880" w:hanging="360"/>
      </w:pPr>
    </w:lvl>
    <w:lvl w:ilvl="4" w:tplc="DA407DC8">
      <w:start w:val="1"/>
      <w:numFmt w:val="lowerLetter"/>
      <w:lvlText w:val="%5."/>
      <w:lvlJc w:val="left"/>
      <w:pPr>
        <w:ind w:left="3600" w:hanging="360"/>
      </w:pPr>
    </w:lvl>
    <w:lvl w:ilvl="5" w:tplc="E078F6FE">
      <w:start w:val="1"/>
      <w:numFmt w:val="lowerRoman"/>
      <w:lvlText w:val="%6."/>
      <w:lvlJc w:val="right"/>
      <w:pPr>
        <w:ind w:left="4320" w:hanging="180"/>
      </w:pPr>
    </w:lvl>
    <w:lvl w:ilvl="6" w:tplc="171E2ED6">
      <w:start w:val="1"/>
      <w:numFmt w:val="decimal"/>
      <w:lvlText w:val="%7."/>
      <w:lvlJc w:val="left"/>
      <w:pPr>
        <w:ind w:left="5040" w:hanging="360"/>
      </w:pPr>
    </w:lvl>
    <w:lvl w:ilvl="7" w:tplc="358E005C">
      <w:start w:val="1"/>
      <w:numFmt w:val="lowerLetter"/>
      <w:lvlText w:val="%8."/>
      <w:lvlJc w:val="left"/>
      <w:pPr>
        <w:ind w:left="5760" w:hanging="360"/>
      </w:pPr>
    </w:lvl>
    <w:lvl w:ilvl="8" w:tplc="344CA0EC">
      <w:start w:val="1"/>
      <w:numFmt w:val="lowerRoman"/>
      <w:lvlText w:val="%9."/>
      <w:lvlJc w:val="right"/>
      <w:pPr>
        <w:ind w:left="6480" w:hanging="180"/>
      </w:pPr>
    </w:lvl>
  </w:abstractNum>
  <w:abstractNum w:abstractNumId="10" w15:restartNumberingAfterBreak="0">
    <w:nsid w:val="37E2C465"/>
    <w:multiLevelType w:val="hybridMultilevel"/>
    <w:tmpl w:val="89BA054C"/>
    <w:lvl w:ilvl="0" w:tplc="6C86E9DC">
      <w:start w:val="1"/>
      <w:numFmt w:val="decimal"/>
      <w:lvlText w:val="%1."/>
      <w:lvlJc w:val="left"/>
      <w:pPr>
        <w:ind w:left="862" w:hanging="360"/>
      </w:pPr>
    </w:lvl>
    <w:lvl w:ilvl="1" w:tplc="38E892AE">
      <w:start w:val="1"/>
      <w:numFmt w:val="lowerLetter"/>
      <w:lvlText w:val="%2."/>
      <w:lvlJc w:val="left"/>
      <w:pPr>
        <w:ind w:left="1582" w:hanging="360"/>
      </w:pPr>
    </w:lvl>
    <w:lvl w:ilvl="2" w:tplc="B046E336">
      <w:start w:val="1"/>
      <w:numFmt w:val="lowerRoman"/>
      <w:lvlText w:val="%3."/>
      <w:lvlJc w:val="right"/>
      <w:pPr>
        <w:ind w:left="2302" w:hanging="180"/>
      </w:pPr>
    </w:lvl>
    <w:lvl w:ilvl="3" w:tplc="32F66748">
      <w:start w:val="1"/>
      <w:numFmt w:val="decimal"/>
      <w:lvlText w:val="%4."/>
      <w:lvlJc w:val="left"/>
      <w:pPr>
        <w:ind w:left="3022" w:hanging="360"/>
      </w:pPr>
    </w:lvl>
    <w:lvl w:ilvl="4" w:tplc="A6EE8DF4">
      <w:start w:val="1"/>
      <w:numFmt w:val="lowerLetter"/>
      <w:lvlText w:val="%5."/>
      <w:lvlJc w:val="left"/>
      <w:pPr>
        <w:ind w:left="3742" w:hanging="360"/>
      </w:pPr>
    </w:lvl>
    <w:lvl w:ilvl="5" w:tplc="6E30A85E">
      <w:start w:val="1"/>
      <w:numFmt w:val="lowerRoman"/>
      <w:lvlText w:val="%6."/>
      <w:lvlJc w:val="right"/>
      <w:pPr>
        <w:ind w:left="4462" w:hanging="180"/>
      </w:pPr>
    </w:lvl>
    <w:lvl w:ilvl="6" w:tplc="C0506DD0">
      <w:start w:val="1"/>
      <w:numFmt w:val="decimal"/>
      <w:lvlText w:val="%7."/>
      <w:lvlJc w:val="left"/>
      <w:pPr>
        <w:ind w:left="5182" w:hanging="360"/>
      </w:pPr>
    </w:lvl>
    <w:lvl w:ilvl="7" w:tplc="21E84A34">
      <w:start w:val="1"/>
      <w:numFmt w:val="lowerLetter"/>
      <w:lvlText w:val="%8."/>
      <w:lvlJc w:val="left"/>
      <w:pPr>
        <w:ind w:left="5902" w:hanging="360"/>
      </w:pPr>
    </w:lvl>
    <w:lvl w:ilvl="8" w:tplc="058AB9C8">
      <w:start w:val="1"/>
      <w:numFmt w:val="lowerRoman"/>
      <w:lvlText w:val="%9."/>
      <w:lvlJc w:val="right"/>
      <w:pPr>
        <w:ind w:left="6622" w:hanging="180"/>
      </w:pPr>
    </w:lvl>
  </w:abstractNum>
  <w:abstractNum w:abstractNumId="11" w15:restartNumberingAfterBreak="0">
    <w:nsid w:val="426617CA"/>
    <w:multiLevelType w:val="hybridMultilevel"/>
    <w:tmpl w:val="926CB9C2"/>
    <w:lvl w:ilvl="0" w:tplc="08090001">
      <w:start w:val="1"/>
      <w:numFmt w:val="bullet"/>
      <w:lvlText w:val=""/>
      <w:lvlJc w:val="left"/>
      <w:pPr>
        <w:ind w:left="862" w:hanging="360"/>
      </w:pPr>
      <w:rPr>
        <w:rFonts w:hint="default" w:ascii="Symbol" w:hAnsi="Symbol"/>
      </w:rPr>
    </w:lvl>
    <w:lvl w:ilvl="1" w:tplc="08090003" w:tentative="1">
      <w:start w:val="1"/>
      <w:numFmt w:val="bullet"/>
      <w:lvlText w:val="o"/>
      <w:lvlJc w:val="left"/>
      <w:pPr>
        <w:ind w:left="1582" w:hanging="360"/>
      </w:pPr>
      <w:rPr>
        <w:rFonts w:hint="default" w:ascii="Courier New" w:hAnsi="Courier New" w:cs="Courier New"/>
      </w:rPr>
    </w:lvl>
    <w:lvl w:ilvl="2" w:tplc="08090005" w:tentative="1">
      <w:start w:val="1"/>
      <w:numFmt w:val="bullet"/>
      <w:lvlText w:val=""/>
      <w:lvlJc w:val="left"/>
      <w:pPr>
        <w:ind w:left="2302" w:hanging="360"/>
      </w:pPr>
      <w:rPr>
        <w:rFonts w:hint="default" w:ascii="Wingdings" w:hAnsi="Wingdings"/>
      </w:rPr>
    </w:lvl>
    <w:lvl w:ilvl="3" w:tplc="08090001" w:tentative="1">
      <w:start w:val="1"/>
      <w:numFmt w:val="bullet"/>
      <w:lvlText w:val=""/>
      <w:lvlJc w:val="left"/>
      <w:pPr>
        <w:ind w:left="3022" w:hanging="360"/>
      </w:pPr>
      <w:rPr>
        <w:rFonts w:hint="default" w:ascii="Symbol" w:hAnsi="Symbol"/>
      </w:rPr>
    </w:lvl>
    <w:lvl w:ilvl="4" w:tplc="08090003" w:tentative="1">
      <w:start w:val="1"/>
      <w:numFmt w:val="bullet"/>
      <w:lvlText w:val="o"/>
      <w:lvlJc w:val="left"/>
      <w:pPr>
        <w:ind w:left="3742" w:hanging="360"/>
      </w:pPr>
      <w:rPr>
        <w:rFonts w:hint="default" w:ascii="Courier New" w:hAnsi="Courier New" w:cs="Courier New"/>
      </w:rPr>
    </w:lvl>
    <w:lvl w:ilvl="5" w:tplc="08090005" w:tentative="1">
      <w:start w:val="1"/>
      <w:numFmt w:val="bullet"/>
      <w:lvlText w:val=""/>
      <w:lvlJc w:val="left"/>
      <w:pPr>
        <w:ind w:left="4462" w:hanging="360"/>
      </w:pPr>
      <w:rPr>
        <w:rFonts w:hint="default" w:ascii="Wingdings" w:hAnsi="Wingdings"/>
      </w:rPr>
    </w:lvl>
    <w:lvl w:ilvl="6" w:tplc="08090001" w:tentative="1">
      <w:start w:val="1"/>
      <w:numFmt w:val="bullet"/>
      <w:lvlText w:val=""/>
      <w:lvlJc w:val="left"/>
      <w:pPr>
        <w:ind w:left="5182" w:hanging="360"/>
      </w:pPr>
      <w:rPr>
        <w:rFonts w:hint="default" w:ascii="Symbol" w:hAnsi="Symbol"/>
      </w:rPr>
    </w:lvl>
    <w:lvl w:ilvl="7" w:tplc="08090003" w:tentative="1">
      <w:start w:val="1"/>
      <w:numFmt w:val="bullet"/>
      <w:lvlText w:val="o"/>
      <w:lvlJc w:val="left"/>
      <w:pPr>
        <w:ind w:left="5902" w:hanging="360"/>
      </w:pPr>
      <w:rPr>
        <w:rFonts w:hint="default" w:ascii="Courier New" w:hAnsi="Courier New" w:cs="Courier New"/>
      </w:rPr>
    </w:lvl>
    <w:lvl w:ilvl="8" w:tplc="08090005" w:tentative="1">
      <w:start w:val="1"/>
      <w:numFmt w:val="bullet"/>
      <w:lvlText w:val=""/>
      <w:lvlJc w:val="left"/>
      <w:pPr>
        <w:ind w:left="6622" w:hanging="360"/>
      </w:pPr>
      <w:rPr>
        <w:rFonts w:hint="default" w:ascii="Wingdings" w:hAnsi="Wingdings"/>
      </w:rPr>
    </w:lvl>
  </w:abstractNum>
  <w:abstractNum w:abstractNumId="12" w15:restartNumberingAfterBreak="0">
    <w:nsid w:val="433D3856"/>
    <w:multiLevelType w:val="multilevel"/>
    <w:tmpl w:val="45DA099A"/>
    <w:lvl w:ilvl="0">
      <w:start w:val="1"/>
      <w:numFmt w:val="decimal"/>
      <w:pStyle w:val="ListParagraph"/>
      <w:lvlText w:val="%1."/>
      <w:lvlJc w:val="left"/>
      <w:pPr>
        <w:ind w:left="502" w:hanging="360"/>
      </w:pPr>
      <w:rPr>
        <w:rFonts w:hint="default" w:ascii="Arial" w:hAnsi="Arial"/>
        <w:color w:val="000000"/>
        <w:sz w:val="24"/>
      </w:rPr>
    </w:lvl>
    <w:lvl w:ilvl="1">
      <w:start w:val="1"/>
      <w:numFmt w:val="decimal"/>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3" w15:restartNumberingAfterBreak="0">
    <w:nsid w:val="5315099A"/>
    <w:multiLevelType w:val="hybridMultilevel"/>
    <w:tmpl w:val="97B43A9E"/>
    <w:lvl w:ilvl="0" w:tplc="500E814A">
      <w:start w:val="1"/>
      <w:numFmt w:val="decimal"/>
      <w:lvlText w:val="%1."/>
      <w:lvlJc w:val="left"/>
      <w:pPr>
        <w:ind w:left="720" w:hanging="360"/>
      </w:pPr>
    </w:lvl>
    <w:lvl w:ilvl="1" w:tplc="99E8D28C">
      <w:start w:val="1"/>
      <w:numFmt w:val="lowerLetter"/>
      <w:lvlText w:val="%2."/>
      <w:lvlJc w:val="left"/>
      <w:pPr>
        <w:ind w:left="1440" w:hanging="360"/>
      </w:pPr>
    </w:lvl>
    <w:lvl w:ilvl="2" w:tplc="BD8C3890">
      <w:start w:val="1"/>
      <w:numFmt w:val="lowerRoman"/>
      <w:lvlText w:val="%3."/>
      <w:lvlJc w:val="right"/>
      <w:pPr>
        <w:ind w:left="2160" w:hanging="180"/>
      </w:pPr>
    </w:lvl>
    <w:lvl w:ilvl="3" w:tplc="6B6A4F52">
      <w:start w:val="1"/>
      <w:numFmt w:val="decimal"/>
      <w:lvlText w:val="%4."/>
      <w:lvlJc w:val="left"/>
      <w:pPr>
        <w:ind w:left="2880" w:hanging="360"/>
      </w:pPr>
    </w:lvl>
    <w:lvl w:ilvl="4" w:tplc="7160C918">
      <w:start w:val="1"/>
      <w:numFmt w:val="lowerLetter"/>
      <w:lvlText w:val="%5."/>
      <w:lvlJc w:val="left"/>
      <w:pPr>
        <w:ind w:left="3600" w:hanging="360"/>
      </w:pPr>
    </w:lvl>
    <w:lvl w:ilvl="5" w:tplc="1BBA0314">
      <w:start w:val="1"/>
      <w:numFmt w:val="lowerRoman"/>
      <w:lvlText w:val="%6."/>
      <w:lvlJc w:val="right"/>
      <w:pPr>
        <w:ind w:left="4320" w:hanging="180"/>
      </w:pPr>
    </w:lvl>
    <w:lvl w:ilvl="6" w:tplc="5F000F04">
      <w:start w:val="1"/>
      <w:numFmt w:val="decimal"/>
      <w:lvlText w:val="%7."/>
      <w:lvlJc w:val="left"/>
      <w:pPr>
        <w:ind w:left="5040" w:hanging="360"/>
      </w:pPr>
    </w:lvl>
    <w:lvl w:ilvl="7" w:tplc="5A0E2FE0">
      <w:start w:val="1"/>
      <w:numFmt w:val="lowerLetter"/>
      <w:lvlText w:val="%8."/>
      <w:lvlJc w:val="left"/>
      <w:pPr>
        <w:ind w:left="5760" w:hanging="360"/>
      </w:pPr>
    </w:lvl>
    <w:lvl w:ilvl="8" w:tplc="23D4D6BA">
      <w:start w:val="1"/>
      <w:numFmt w:val="lowerRoman"/>
      <w:lvlText w:val="%9."/>
      <w:lvlJc w:val="right"/>
      <w:pPr>
        <w:ind w:left="6480" w:hanging="180"/>
      </w:pPr>
    </w:lvl>
  </w:abstractNum>
  <w:abstractNum w:abstractNumId="14" w15:restartNumberingAfterBreak="0">
    <w:nsid w:val="58F57B19"/>
    <w:multiLevelType w:val="hybridMultilevel"/>
    <w:tmpl w:val="A4FCFE1E"/>
    <w:lvl w:ilvl="0" w:tplc="8548B6CA">
      <w:start w:val="18"/>
      <w:numFmt w:val="decimal"/>
      <w:lvlText w:val="%1."/>
      <w:lvlJc w:val="left"/>
      <w:pPr>
        <w:ind w:left="502" w:hanging="360"/>
      </w:pPr>
    </w:lvl>
    <w:lvl w:ilvl="1" w:tplc="ECD8D32C">
      <w:start w:val="1"/>
      <w:numFmt w:val="lowerLetter"/>
      <w:lvlText w:val="%2."/>
      <w:lvlJc w:val="left"/>
      <w:pPr>
        <w:ind w:left="1222" w:hanging="360"/>
      </w:pPr>
    </w:lvl>
    <w:lvl w:ilvl="2" w:tplc="BC6AC7F0">
      <w:start w:val="1"/>
      <w:numFmt w:val="lowerRoman"/>
      <w:lvlText w:val="%3."/>
      <w:lvlJc w:val="right"/>
      <w:pPr>
        <w:ind w:left="1942" w:hanging="180"/>
      </w:pPr>
    </w:lvl>
    <w:lvl w:ilvl="3" w:tplc="DB56F19E">
      <w:start w:val="1"/>
      <w:numFmt w:val="decimal"/>
      <w:lvlText w:val="%4."/>
      <w:lvlJc w:val="left"/>
      <w:pPr>
        <w:ind w:left="2662" w:hanging="360"/>
      </w:pPr>
    </w:lvl>
    <w:lvl w:ilvl="4" w:tplc="FA4487C2">
      <w:start w:val="1"/>
      <w:numFmt w:val="lowerLetter"/>
      <w:lvlText w:val="%5."/>
      <w:lvlJc w:val="left"/>
      <w:pPr>
        <w:ind w:left="3382" w:hanging="360"/>
      </w:pPr>
    </w:lvl>
    <w:lvl w:ilvl="5" w:tplc="AAB2DDE4">
      <w:start w:val="1"/>
      <w:numFmt w:val="lowerRoman"/>
      <w:lvlText w:val="%6."/>
      <w:lvlJc w:val="right"/>
      <w:pPr>
        <w:ind w:left="4102" w:hanging="180"/>
      </w:pPr>
    </w:lvl>
    <w:lvl w:ilvl="6" w:tplc="0A22F7CE">
      <w:start w:val="1"/>
      <w:numFmt w:val="decimal"/>
      <w:lvlText w:val="%7."/>
      <w:lvlJc w:val="left"/>
      <w:pPr>
        <w:ind w:left="4822" w:hanging="360"/>
      </w:pPr>
    </w:lvl>
    <w:lvl w:ilvl="7" w:tplc="595CA9AA">
      <w:start w:val="1"/>
      <w:numFmt w:val="lowerLetter"/>
      <w:lvlText w:val="%8."/>
      <w:lvlJc w:val="left"/>
      <w:pPr>
        <w:ind w:left="5542" w:hanging="360"/>
      </w:pPr>
    </w:lvl>
    <w:lvl w:ilvl="8" w:tplc="5360FE12">
      <w:start w:val="1"/>
      <w:numFmt w:val="lowerRoman"/>
      <w:lvlText w:val="%9."/>
      <w:lvlJc w:val="right"/>
      <w:pPr>
        <w:ind w:left="6262" w:hanging="180"/>
      </w:pPr>
    </w:lvl>
  </w:abstractNum>
  <w:abstractNum w:abstractNumId="15" w15:restartNumberingAfterBreak="0">
    <w:nsid w:val="6123575F"/>
    <w:multiLevelType w:val="hybridMultilevel"/>
    <w:tmpl w:val="3F1474AA"/>
    <w:lvl w:ilvl="0" w:tplc="F70040C8">
      <w:start w:val="1"/>
      <w:numFmt w:val="bullet"/>
      <w:lvlText w:val=""/>
      <w:lvlJc w:val="left"/>
      <w:pPr>
        <w:ind w:left="862" w:hanging="360"/>
      </w:pPr>
      <w:rPr>
        <w:rFonts w:hint="default" w:ascii="Symbol" w:hAnsi="Symbol"/>
      </w:rPr>
    </w:lvl>
    <w:lvl w:ilvl="1" w:tplc="9872D9B8">
      <w:start w:val="1"/>
      <w:numFmt w:val="bullet"/>
      <w:lvlText w:val="o"/>
      <w:lvlJc w:val="left"/>
      <w:pPr>
        <w:ind w:left="1582" w:hanging="360"/>
      </w:pPr>
      <w:rPr>
        <w:rFonts w:hint="default" w:ascii="Courier New" w:hAnsi="Courier New"/>
      </w:rPr>
    </w:lvl>
    <w:lvl w:ilvl="2" w:tplc="252A1D9A">
      <w:start w:val="1"/>
      <w:numFmt w:val="bullet"/>
      <w:lvlText w:val=""/>
      <w:lvlJc w:val="left"/>
      <w:pPr>
        <w:ind w:left="2302" w:hanging="360"/>
      </w:pPr>
      <w:rPr>
        <w:rFonts w:hint="default" w:ascii="Wingdings" w:hAnsi="Wingdings"/>
      </w:rPr>
    </w:lvl>
    <w:lvl w:ilvl="3" w:tplc="1548ED1A">
      <w:start w:val="1"/>
      <w:numFmt w:val="bullet"/>
      <w:lvlText w:val=""/>
      <w:lvlJc w:val="left"/>
      <w:pPr>
        <w:ind w:left="3022" w:hanging="360"/>
      </w:pPr>
      <w:rPr>
        <w:rFonts w:hint="default" w:ascii="Symbol" w:hAnsi="Symbol"/>
      </w:rPr>
    </w:lvl>
    <w:lvl w:ilvl="4" w:tplc="BE1E3256">
      <w:start w:val="1"/>
      <w:numFmt w:val="bullet"/>
      <w:lvlText w:val="o"/>
      <w:lvlJc w:val="left"/>
      <w:pPr>
        <w:ind w:left="3742" w:hanging="360"/>
      </w:pPr>
      <w:rPr>
        <w:rFonts w:hint="default" w:ascii="Courier New" w:hAnsi="Courier New"/>
      </w:rPr>
    </w:lvl>
    <w:lvl w:ilvl="5" w:tplc="69E26C66">
      <w:start w:val="1"/>
      <w:numFmt w:val="bullet"/>
      <w:lvlText w:val=""/>
      <w:lvlJc w:val="left"/>
      <w:pPr>
        <w:ind w:left="4462" w:hanging="360"/>
      </w:pPr>
      <w:rPr>
        <w:rFonts w:hint="default" w:ascii="Wingdings" w:hAnsi="Wingdings"/>
      </w:rPr>
    </w:lvl>
    <w:lvl w:ilvl="6" w:tplc="1B26CA8C">
      <w:start w:val="1"/>
      <w:numFmt w:val="bullet"/>
      <w:lvlText w:val=""/>
      <w:lvlJc w:val="left"/>
      <w:pPr>
        <w:ind w:left="5182" w:hanging="360"/>
      </w:pPr>
      <w:rPr>
        <w:rFonts w:hint="default" w:ascii="Symbol" w:hAnsi="Symbol"/>
      </w:rPr>
    </w:lvl>
    <w:lvl w:ilvl="7" w:tplc="1890A554">
      <w:start w:val="1"/>
      <w:numFmt w:val="bullet"/>
      <w:lvlText w:val="o"/>
      <w:lvlJc w:val="left"/>
      <w:pPr>
        <w:ind w:left="5902" w:hanging="360"/>
      </w:pPr>
      <w:rPr>
        <w:rFonts w:hint="default" w:ascii="Courier New" w:hAnsi="Courier New"/>
      </w:rPr>
    </w:lvl>
    <w:lvl w:ilvl="8" w:tplc="1A2C7E0C">
      <w:start w:val="1"/>
      <w:numFmt w:val="bullet"/>
      <w:lvlText w:val=""/>
      <w:lvlJc w:val="left"/>
      <w:pPr>
        <w:ind w:left="6622" w:hanging="360"/>
      </w:pPr>
      <w:rPr>
        <w:rFonts w:hint="default" w:ascii="Wingdings" w:hAnsi="Wingdings"/>
      </w:rPr>
    </w:lvl>
  </w:abstractNum>
  <w:abstractNum w:abstractNumId="16" w15:restartNumberingAfterBreak="0">
    <w:nsid w:val="696867E3"/>
    <w:multiLevelType w:val="hybridMultilevel"/>
    <w:tmpl w:val="C9705C3E"/>
    <w:lvl w:ilvl="0" w:tplc="417E1398">
      <w:start w:val="1"/>
      <w:numFmt w:val="bullet"/>
      <w:lvlText w:val=""/>
      <w:lvlJc w:val="left"/>
      <w:pPr>
        <w:ind w:left="862" w:hanging="360"/>
      </w:pPr>
      <w:rPr>
        <w:rFonts w:hint="default" w:ascii="Symbol" w:hAnsi="Symbol"/>
      </w:rPr>
    </w:lvl>
    <w:lvl w:ilvl="1" w:tplc="270ED1F8">
      <w:start w:val="1"/>
      <w:numFmt w:val="bullet"/>
      <w:lvlText w:val="o"/>
      <w:lvlJc w:val="left"/>
      <w:pPr>
        <w:ind w:left="1582" w:hanging="360"/>
      </w:pPr>
      <w:rPr>
        <w:rFonts w:hint="default" w:ascii="Courier New" w:hAnsi="Courier New"/>
      </w:rPr>
    </w:lvl>
    <w:lvl w:ilvl="2" w:tplc="D8220FA4">
      <w:start w:val="1"/>
      <w:numFmt w:val="bullet"/>
      <w:lvlText w:val=""/>
      <w:lvlJc w:val="left"/>
      <w:pPr>
        <w:ind w:left="2302" w:hanging="360"/>
      </w:pPr>
      <w:rPr>
        <w:rFonts w:hint="default" w:ascii="Wingdings" w:hAnsi="Wingdings"/>
      </w:rPr>
    </w:lvl>
    <w:lvl w:ilvl="3" w:tplc="4F26C6E6">
      <w:start w:val="1"/>
      <w:numFmt w:val="bullet"/>
      <w:lvlText w:val=""/>
      <w:lvlJc w:val="left"/>
      <w:pPr>
        <w:ind w:left="3022" w:hanging="360"/>
      </w:pPr>
      <w:rPr>
        <w:rFonts w:hint="default" w:ascii="Symbol" w:hAnsi="Symbol"/>
      </w:rPr>
    </w:lvl>
    <w:lvl w:ilvl="4" w:tplc="04C692E8">
      <w:start w:val="1"/>
      <w:numFmt w:val="bullet"/>
      <w:lvlText w:val="o"/>
      <w:lvlJc w:val="left"/>
      <w:pPr>
        <w:ind w:left="3742" w:hanging="360"/>
      </w:pPr>
      <w:rPr>
        <w:rFonts w:hint="default" w:ascii="Courier New" w:hAnsi="Courier New"/>
      </w:rPr>
    </w:lvl>
    <w:lvl w:ilvl="5" w:tplc="3C1C7002">
      <w:start w:val="1"/>
      <w:numFmt w:val="bullet"/>
      <w:lvlText w:val=""/>
      <w:lvlJc w:val="left"/>
      <w:pPr>
        <w:ind w:left="4462" w:hanging="360"/>
      </w:pPr>
      <w:rPr>
        <w:rFonts w:hint="default" w:ascii="Wingdings" w:hAnsi="Wingdings"/>
      </w:rPr>
    </w:lvl>
    <w:lvl w:ilvl="6" w:tplc="993050EC">
      <w:start w:val="1"/>
      <w:numFmt w:val="bullet"/>
      <w:lvlText w:val=""/>
      <w:lvlJc w:val="left"/>
      <w:pPr>
        <w:ind w:left="5182" w:hanging="360"/>
      </w:pPr>
      <w:rPr>
        <w:rFonts w:hint="default" w:ascii="Symbol" w:hAnsi="Symbol"/>
      </w:rPr>
    </w:lvl>
    <w:lvl w:ilvl="7" w:tplc="F822EC04">
      <w:start w:val="1"/>
      <w:numFmt w:val="bullet"/>
      <w:lvlText w:val="o"/>
      <w:lvlJc w:val="left"/>
      <w:pPr>
        <w:ind w:left="5902" w:hanging="360"/>
      </w:pPr>
      <w:rPr>
        <w:rFonts w:hint="default" w:ascii="Courier New" w:hAnsi="Courier New"/>
      </w:rPr>
    </w:lvl>
    <w:lvl w:ilvl="8" w:tplc="EAF8B6A4">
      <w:start w:val="1"/>
      <w:numFmt w:val="bullet"/>
      <w:lvlText w:val=""/>
      <w:lvlJc w:val="left"/>
      <w:pPr>
        <w:ind w:left="6622" w:hanging="360"/>
      </w:pPr>
      <w:rPr>
        <w:rFonts w:hint="default" w:ascii="Wingdings" w:hAnsi="Wingdings"/>
      </w:rPr>
    </w:lvl>
  </w:abstractNum>
  <w:abstractNum w:abstractNumId="17" w15:restartNumberingAfterBreak="0">
    <w:nsid w:val="6A9F2B3C"/>
    <w:multiLevelType w:val="multilevel"/>
    <w:tmpl w:val="4C5820D8"/>
    <w:lvl w:ilvl="0">
      <w:start w:val="1"/>
      <w:numFmt w:val="decimal"/>
      <w:pStyle w:val="Numberedlist"/>
      <w:lvlText w:val="%1."/>
      <w:lvlJc w:val="left"/>
      <w:pPr>
        <w:ind w:left="720" w:hanging="360"/>
      </w:pPr>
      <w:rPr>
        <w:rFonts w:ascii="Arial" w:hAnsi="Arial"/>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B9D8027"/>
    <w:multiLevelType w:val="hybridMultilevel"/>
    <w:tmpl w:val="3476FCF0"/>
    <w:lvl w:ilvl="0" w:tplc="0BF4E6E8">
      <w:start w:val="1"/>
      <w:numFmt w:val="bullet"/>
      <w:lvlText w:val=""/>
      <w:lvlJc w:val="left"/>
      <w:pPr>
        <w:ind w:left="720" w:hanging="360"/>
      </w:pPr>
      <w:rPr>
        <w:rFonts w:hint="default" w:ascii="Symbol" w:hAnsi="Symbol"/>
      </w:rPr>
    </w:lvl>
    <w:lvl w:ilvl="1" w:tplc="0D8E4B2A">
      <w:start w:val="1"/>
      <w:numFmt w:val="bullet"/>
      <w:lvlText w:val="o"/>
      <w:lvlJc w:val="left"/>
      <w:pPr>
        <w:ind w:left="1440" w:hanging="360"/>
      </w:pPr>
      <w:rPr>
        <w:rFonts w:hint="default" w:ascii="Courier New" w:hAnsi="Courier New"/>
      </w:rPr>
    </w:lvl>
    <w:lvl w:ilvl="2" w:tplc="0A22F99E">
      <w:start w:val="1"/>
      <w:numFmt w:val="bullet"/>
      <w:lvlText w:val=""/>
      <w:lvlJc w:val="left"/>
      <w:pPr>
        <w:ind w:left="2160" w:hanging="360"/>
      </w:pPr>
      <w:rPr>
        <w:rFonts w:hint="default" w:ascii="Wingdings" w:hAnsi="Wingdings"/>
      </w:rPr>
    </w:lvl>
    <w:lvl w:ilvl="3" w:tplc="C8562196">
      <w:start w:val="1"/>
      <w:numFmt w:val="bullet"/>
      <w:lvlText w:val=""/>
      <w:lvlJc w:val="left"/>
      <w:pPr>
        <w:ind w:left="2880" w:hanging="360"/>
      </w:pPr>
      <w:rPr>
        <w:rFonts w:hint="default" w:ascii="Symbol" w:hAnsi="Symbol"/>
      </w:rPr>
    </w:lvl>
    <w:lvl w:ilvl="4" w:tplc="BCEC3E52">
      <w:start w:val="1"/>
      <w:numFmt w:val="bullet"/>
      <w:lvlText w:val="o"/>
      <w:lvlJc w:val="left"/>
      <w:pPr>
        <w:ind w:left="3600" w:hanging="360"/>
      </w:pPr>
      <w:rPr>
        <w:rFonts w:hint="default" w:ascii="Courier New" w:hAnsi="Courier New"/>
      </w:rPr>
    </w:lvl>
    <w:lvl w:ilvl="5" w:tplc="62AE106E">
      <w:start w:val="1"/>
      <w:numFmt w:val="bullet"/>
      <w:lvlText w:val=""/>
      <w:lvlJc w:val="left"/>
      <w:pPr>
        <w:ind w:left="4320" w:hanging="360"/>
      </w:pPr>
      <w:rPr>
        <w:rFonts w:hint="default" w:ascii="Wingdings" w:hAnsi="Wingdings"/>
      </w:rPr>
    </w:lvl>
    <w:lvl w:ilvl="6" w:tplc="C17679EC">
      <w:start w:val="1"/>
      <w:numFmt w:val="bullet"/>
      <w:lvlText w:val=""/>
      <w:lvlJc w:val="left"/>
      <w:pPr>
        <w:ind w:left="5040" w:hanging="360"/>
      </w:pPr>
      <w:rPr>
        <w:rFonts w:hint="default" w:ascii="Symbol" w:hAnsi="Symbol"/>
      </w:rPr>
    </w:lvl>
    <w:lvl w:ilvl="7" w:tplc="DC403096">
      <w:start w:val="1"/>
      <w:numFmt w:val="bullet"/>
      <w:lvlText w:val="o"/>
      <w:lvlJc w:val="left"/>
      <w:pPr>
        <w:ind w:left="5760" w:hanging="360"/>
      </w:pPr>
      <w:rPr>
        <w:rFonts w:hint="default" w:ascii="Courier New" w:hAnsi="Courier New"/>
      </w:rPr>
    </w:lvl>
    <w:lvl w:ilvl="8" w:tplc="6214F5AE">
      <w:start w:val="1"/>
      <w:numFmt w:val="bullet"/>
      <w:lvlText w:val=""/>
      <w:lvlJc w:val="left"/>
      <w:pPr>
        <w:ind w:left="6480" w:hanging="360"/>
      </w:pPr>
      <w:rPr>
        <w:rFonts w:hint="default" w:ascii="Wingdings" w:hAnsi="Wingdings"/>
      </w:rPr>
    </w:lvl>
  </w:abstractNum>
  <w:abstractNum w:abstractNumId="19" w15:restartNumberingAfterBreak="0">
    <w:nsid w:val="74BB70A1"/>
    <w:multiLevelType w:val="hybridMultilevel"/>
    <w:tmpl w:val="8154F5AE"/>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0" w15:restartNumberingAfterBreak="0">
    <w:nsid w:val="7851C74B"/>
    <w:multiLevelType w:val="hybridMultilevel"/>
    <w:tmpl w:val="71AEA154"/>
    <w:lvl w:ilvl="0" w:tplc="8CF63990">
      <w:start w:val="1"/>
      <w:numFmt w:val="bullet"/>
      <w:lvlText w:val=""/>
      <w:lvlJc w:val="left"/>
      <w:pPr>
        <w:ind w:left="862" w:hanging="360"/>
      </w:pPr>
      <w:rPr>
        <w:rFonts w:hint="default" w:ascii="Symbol" w:hAnsi="Symbol"/>
      </w:rPr>
    </w:lvl>
    <w:lvl w:ilvl="1" w:tplc="C1E0501E">
      <w:start w:val="1"/>
      <w:numFmt w:val="bullet"/>
      <w:lvlText w:val="o"/>
      <w:lvlJc w:val="left"/>
      <w:pPr>
        <w:ind w:left="1582" w:hanging="360"/>
      </w:pPr>
      <w:rPr>
        <w:rFonts w:hint="default" w:ascii="Courier New" w:hAnsi="Courier New"/>
      </w:rPr>
    </w:lvl>
    <w:lvl w:ilvl="2" w:tplc="09FC723C">
      <w:start w:val="1"/>
      <w:numFmt w:val="bullet"/>
      <w:lvlText w:val=""/>
      <w:lvlJc w:val="left"/>
      <w:pPr>
        <w:ind w:left="2302" w:hanging="360"/>
      </w:pPr>
      <w:rPr>
        <w:rFonts w:hint="default" w:ascii="Wingdings" w:hAnsi="Wingdings"/>
      </w:rPr>
    </w:lvl>
    <w:lvl w:ilvl="3" w:tplc="0A5A7F12">
      <w:start w:val="1"/>
      <w:numFmt w:val="bullet"/>
      <w:lvlText w:val=""/>
      <w:lvlJc w:val="left"/>
      <w:pPr>
        <w:ind w:left="3022" w:hanging="360"/>
      </w:pPr>
      <w:rPr>
        <w:rFonts w:hint="default" w:ascii="Symbol" w:hAnsi="Symbol"/>
      </w:rPr>
    </w:lvl>
    <w:lvl w:ilvl="4" w:tplc="3D1CDF14">
      <w:start w:val="1"/>
      <w:numFmt w:val="bullet"/>
      <w:lvlText w:val="o"/>
      <w:lvlJc w:val="left"/>
      <w:pPr>
        <w:ind w:left="3742" w:hanging="360"/>
      </w:pPr>
      <w:rPr>
        <w:rFonts w:hint="default" w:ascii="Courier New" w:hAnsi="Courier New"/>
      </w:rPr>
    </w:lvl>
    <w:lvl w:ilvl="5" w:tplc="C712741A">
      <w:start w:val="1"/>
      <w:numFmt w:val="bullet"/>
      <w:lvlText w:val=""/>
      <w:lvlJc w:val="left"/>
      <w:pPr>
        <w:ind w:left="4462" w:hanging="360"/>
      </w:pPr>
      <w:rPr>
        <w:rFonts w:hint="default" w:ascii="Wingdings" w:hAnsi="Wingdings"/>
      </w:rPr>
    </w:lvl>
    <w:lvl w:ilvl="6" w:tplc="8340BCC2">
      <w:start w:val="1"/>
      <w:numFmt w:val="bullet"/>
      <w:lvlText w:val=""/>
      <w:lvlJc w:val="left"/>
      <w:pPr>
        <w:ind w:left="5182" w:hanging="360"/>
      </w:pPr>
      <w:rPr>
        <w:rFonts w:hint="default" w:ascii="Symbol" w:hAnsi="Symbol"/>
      </w:rPr>
    </w:lvl>
    <w:lvl w:ilvl="7" w:tplc="E31A0458">
      <w:start w:val="1"/>
      <w:numFmt w:val="bullet"/>
      <w:lvlText w:val="o"/>
      <w:lvlJc w:val="left"/>
      <w:pPr>
        <w:ind w:left="5902" w:hanging="360"/>
      </w:pPr>
      <w:rPr>
        <w:rFonts w:hint="default" w:ascii="Courier New" w:hAnsi="Courier New"/>
      </w:rPr>
    </w:lvl>
    <w:lvl w:ilvl="8" w:tplc="0FB26D78">
      <w:start w:val="1"/>
      <w:numFmt w:val="bullet"/>
      <w:lvlText w:val=""/>
      <w:lvlJc w:val="left"/>
      <w:pPr>
        <w:ind w:left="6622" w:hanging="360"/>
      </w:pPr>
      <w:rPr>
        <w:rFonts w:hint="default" w:ascii="Wingdings" w:hAnsi="Wingdings"/>
      </w:rPr>
    </w:lvl>
  </w:abstractNum>
  <w:abstractNum w:abstractNumId="21" w15:restartNumberingAfterBreak="0">
    <w:nsid w:val="798365C6"/>
    <w:multiLevelType w:val="multilevel"/>
    <w:tmpl w:val="EDF0BB08"/>
    <w:lvl w:ilvl="0">
      <w:start w:val="1"/>
      <w:numFmt w:val="decimal"/>
      <w:lvlText w:val="%1."/>
      <w:lvlJc w:val="left"/>
      <w:pPr>
        <w:ind w:left="502" w:hanging="360"/>
      </w:pPr>
      <w:rPr>
        <w:rFonts w:ascii="Arial" w:hAnsi="Arial"/>
        <w:color w:val="000000"/>
        <w:sz w:val="24"/>
      </w:r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708606749">
    <w:abstractNumId w:val="5"/>
  </w:num>
  <w:num w:numId="2" w16cid:durableId="826629744">
    <w:abstractNumId w:val="9"/>
  </w:num>
  <w:num w:numId="3" w16cid:durableId="452022390">
    <w:abstractNumId w:val="3"/>
  </w:num>
  <w:num w:numId="4" w16cid:durableId="452553418">
    <w:abstractNumId w:val="14"/>
  </w:num>
  <w:num w:numId="5" w16cid:durableId="1757940912">
    <w:abstractNumId w:val="4"/>
  </w:num>
  <w:num w:numId="6" w16cid:durableId="1020813822">
    <w:abstractNumId w:val="0"/>
  </w:num>
  <w:num w:numId="7" w16cid:durableId="2068604885">
    <w:abstractNumId w:val="20"/>
  </w:num>
  <w:num w:numId="8" w16cid:durableId="82459488">
    <w:abstractNumId w:val="18"/>
  </w:num>
  <w:num w:numId="9" w16cid:durableId="1837376464">
    <w:abstractNumId w:val="8"/>
  </w:num>
  <w:num w:numId="10" w16cid:durableId="392192855">
    <w:abstractNumId w:val="13"/>
  </w:num>
  <w:num w:numId="11" w16cid:durableId="1540776741">
    <w:abstractNumId w:val="10"/>
  </w:num>
  <w:num w:numId="12" w16cid:durableId="1336032168">
    <w:abstractNumId w:val="16"/>
  </w:num>
  <w:num w:numId="13" w16cid:durableId="1758861950">
    <w:abstractNumId w:val="15"/>
  </w:num>
  <w:num w:numId="14" w16cid:durableId="1450854030">
    <w:abstractNumId w:val="1"/>
  </w:num>
  <w:num w:numId="15" w16cid:durableId="1009412161">
    <w:abstractNumId w:val="6"/>
  </w:num>
  <w:num w:numId="16" w16cid:durableId="2041280933">
    <w:abstractNumId w:val="2"/>
  </w:num>
  <w:num w:numId="17" w16cid:durableId="37707020">
    <w:abstractNumId w:val="17"/>
  </w:num>
  <w:num w:numId="18" w16cid:durableId="10204034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45732472">
    <w:abstractNumId w:val="19"/>
  </w:num>
  <w:num w:numId="20" w16cid:durableId="816921094">
    <w:abstractNumId w:val="12"/>
  </w:num>
  <w:num w:numId="21" w16cid:durableId="564873678">
    <w:abstractNumId w:val="7"/>
  </w:num>
  <w:num w:numId="22" w16cid:durableId="824273601">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stylePaneFormatFilter w:val="B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1"/>
  <w:stylePaneSortMethod w:val="0000"/>
  <w:trackRevisions w:val="false"/>
  <w:documentProtection w:edit="trackedChanges" w:enforcement="0"/>
  <w:defaultTabStop w:val="720"/>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B71"/>
    <w:rsid w:val="00003134"/>
    <w:rsid w:val="000038AD"/>
    <w:rsid w:val="000117D4"/>
    <w:rsid w:val="0001214A"/>
    <w:rsid w:val="00020D4B"/>
    <w:rsid w:val="00024CC0"/>
    <w:rsid w:val="00025250"/>
    <w:rsid w:val="000314D7"/>
    <w:rsid w:val="00034054"/>
    <w:rsid w:val="0003F2B7"/>
    <w:rsid w:val="000411A3"/>
    <w:rsid w:val="000433DC"/>
    <w:rsid w:val="000435B9"/>
    <w:rsid w:val="00045F8B"/>
    <w:rsid w:val="00046D2B"/>
    <w:rsid w:val="00050BA6"/>
    <w:rsid w:val="00056263"/>
    <w:rsid w:val="00061C6B"/>
    <w:rsid w:val="00063CED"/>
    <w:rsid w:val="00064D8A"/>
    <w:rsid w:val="00064F82"/>
    <w:rsid w:val="000660DB"/>
    <w:rsid w:val="00066510"/>
    <w:rsid w:val="00073A62"/>
    <w:rsid w:val="00077523"/>
    <w:rsid w:val="000829DA"/>
    <w:rsid w:val="00083CD5"/>
    <w:rsid w:val="00085872"/>
    <w:rsid w:val="000A2C27"/>
    <w:rsid w:val="000B1DFC"/>
    <w:rsid w:val="000B2A70"/>
    <w:rsid w:val="000C089F"/>
    <w:rsid w:val="000C3928"/>
    <w:rsid w:val="000C5E8E"/>
    <w:rsid w:val="000D10CF"/>
    <w:rsid w:val="000D4A2E"/>
    <w:rsid w:val="000F018F"/>
    <w:rsid w:val="000F3634"/>
    <w:rsid w:val="000F4751"/>
    <w:rsid w:val="000F5ED0"/>
    <w:rsid w:val="0010524C"/>
    <w:rsid w:val="001053AB"/>
    <w:rsid w:val="0011090B"/>
    <w:rsid w:val="00111FB1"/>
    <w:rsid w:val="00113061"/>
    <w:rsid w:val="00113418"/>
    <w:rsid w:val="0012709D"/>
    <w:rsid w:val="00134E47"/>
    <w:rsid w:val="001356F1"/>
    <w:rsid w:val="00136994"/>
    <w:rsid w:val="0014128E"/>
    <w:rsid w:val="00151888"/>
    <w:rsid w:val="00154095"/>
    <w:rsid w:val="00170A2D"/>
    <w:rsid w:val="001808BC"/>
    <w:rsid w:val="0018218A"/>
    <w:rsid w:val="00182B81"/>
    <w:rsid w:val="001844CD"/>
    <w:rsid w:val="0018619D"/>
    <w:rsid w:val="001A011E"/>
    <w:rsid w:val="001A066A"/>
    <w:rsid w:val="001A084C"/>
    <w:rsid w:val="001A13E6"/>
    <w:rsid w:val="001A42D4"/>
    <w:rsid w:val="001A5731"/>
    <w:rsid w:val="001B42C3"/>
    <w:rsid w:val="001C5D5E"/>
    <w:rsid w:val="001D123F"/>
    <w:rsid w:val="001D41D3"/>
    <w:rsid w:val="001D678D"/>
    <w:rsid w:val="001E03F8"/>
    <w:rsid w:val="001E1678"/>
    <w:rsid w:val="001E3376"/>
    <w:rsid w:val="001F2FD8"/>
    <w:rsid w:val="001F3210"/>
    <w:rsid w:val="001F66A1"/>
    <w:rsid w:val="002056E1"/>
    <w:rsid w:val="002069B3"/>
    <w:rsid w:val="00215D02"/>
    <w:rsid w:val="00217EF6"/>
    <w:rsid w:val="002312EA"/>
    <w:rsid w:val="002329CF"/>
    <w:rsid w:val="00232F5B"/>
    <w:rsid w:val="00237FC8"/>
    <w:rsid w:val="00247C29"/>
    <w:rsid w:val="0025424F"/>
    <w:rsid w:val="00260467"/>
    <w:rsid w:val="00263EA3"/>
    <w:rsid w:val="00264610"/>
    <w:rsid w:val="0026795E"/>
    <w:rsid w:val="0027355E"/>
    <w:rsid w:val="00284F85"/>
    <w:rsid w:val="0028516F"/>
    <w:rsid w:val="002870C3"/>
    <w:rsid w:val="00290915"/>
    <w:rsid w:val="00291FFC"/>
    <w:rsid w:val="002922C7"/>
    <w:rsid w:val="002A044C"/>
    <w:rsid w:val="002A22E2"/>
    <w:rsid w:val="002B6836"/>
    <w:rsid w:val="002C0603"/>
    <w:rsid w:val="002C64F7"/>
    <w:rsid w:val="002C6A36"/>
    <w:rsid w:val="002D3CB6"/>
    <w:rsid w:val="002D447B"/>
    <w:rsid w:val="002D577B"/>
    <w:rsid w:val="002D74F9"/>
    <w:rsid w:val="002E2603"/>
    <w:rsid w:val="002F41F2"/>
    <w:rsid w:val="00301BF3"/>
    <w:rsid w:val="0030208D"/>
    <w:rsid w:val="00323418"/>
    <w:rsid w:val="003262B3"/>
    <w:rsid w:val="003357BF"/>
    <w:rsid w:val="00353770"/>
    <w:rsid w:val="00354A36"/>
    <w:rsid w:val="00355F8E"/>
    <w:rsid w:val="00364153"/>
    <w:rsid w:val="00364FAD"/>
    <w:rsid w:val="00367254"/>
    <w:rsid w:val="0036738F"/>
    <w:rsid w:val="0036759C"/>
    <w:rsid w:val="00367AE5"/>
    <w:rsid w:val="00367D71"/>
    <w:rsid w:val="0038150A"/>
    <w:rsid w:val="0039076B"/>
    <w:rsid w:val="003944AB"/>
    <w:rsid w:val="00398A1C"/>
    <w:rsid w:val="003A55F8"/>
    <w:rsid w:val="003B6E75"/>
    <w:rsid w:val="003B7DA1"/>
    <w:rsid w:val="003C5909"/>
    <w:rsid w:val="003D0379"/>
    <w:rsid w:val="003D2574"/>
    <w:rsid w:val="003D4C59"/>
    <w:rsid w:val="003E5DFD"/>
    <w:rsid w:val="003F4267"/>
    <w:rsid w:val="00403D8F"/>
    <w:rsid w:val="00404032"/>
    <w:rsid w:val="0040736F"/>
    <w:rsid w:val="00412C1F"/>
    <w:rsid w:val="00421CB2"/>
    <w:rsid w:val="004268B9"/>
    <w:rsid w:val="00433B96"/>
    <w:rsid w:val="00436E33"/>
    <w:rsid w:val="00436E5B"/>
    <w:rsid w:val="0044147C"/>
    <w:rsid w:val="00441EED"/>
    <w:rsid w:val="004440F1"/>
    <w:rsid w:val="004456DD"/>
    <w:rsid w:val="00446CDF"/>
    <w:rsid w:val="004521B7"/>
    <w:rsid w:val="004548E0"/>
    <w:rsid w:val="004556D2"/>
    <w:rsid w:val="00462AB5"/>
    <w:rsid w:val="00462D22"/>
    <w:rsid w:val="00465EAF"/>
    <w:rsid w:val="004738C5"/>
    <w:rsid w:val="00475189"/>
    <w:rsid w:val="0047737B"/>
    <w:rsid w:val="00484624"/>
    <w:rsid w:val="00487F50"/>
    <w:rsid w:val="00490E26"/>
    <w:rsid w:val="00491046"/>
    <w:rsid w:val="00492359"/>
    <w:rsid w:val="00496078"/>
    <w:rsid w:val="004A2AC7"/>
    <w:rsid w:val="004A6D2F"/>
    <w:rsid w:val="004B11AE"/>
    <w:rsid w:val="004B249A"/>
    <w:rsid w:val="004B32E2"/>
    <w:rsid w:val="004C2887"/>
    <w:rsid w:val="004C7BA7"/>
    <w:rsid w:val="004D2626"/>
    <w:rsid w:val="004D6E26"/>
    <w:rsid w:val="004D74DC"/>
    <w:rsid w:val="004D77D3"/>
    <w:rsid w:val="004E2959"/>
    <w:rsid w:val="004F20EF"/>
    <w:rsid w:val="004F705F"/>
    <w:rsid w:val="0050321C"/>
    <w:rsid w:val="00505313"/>
    <w:rsid w:val="00507ECC"/>
    <w:rsid w:val="00524087"/>
    <w:rsid w:val="0054712D"/>
    <w:rsid w:val="00547EF6"/>
    <w:rsid w:val="005570B5"/>
    <w:rsid w:val="0056028E"/>
    <w:rsid w:val="00566878"/>
    <w:rsid w:val="00567E18"/>
    <w:rsid w:val="00575F5F"/>
    <w:rsid w:val="00581805"/>
    <w:rsid w:val="00585F76"/>
    <w:rsid w:val="005877CE"/>
    <w:rsid w:val="00590087"/>
    <w:rsid w:val="005A2389"/>
    <w:rsid w:val="005A34E4"/>
    <w:rsid w:val="005A6610"/>
    <w:rsid w:val="005B17F2"/>
    <w:rsid w:val="005B7FB0"/>
    <w:rsid w:val="005C35A5"/>
    <w:rsid w:val="005C3BFC"/>
    <w:rsid w:val="005C577C"/>
    <w:rsid w:val="005D0621"/>
    <w:rsid w:val="005D1E27"/>
    <w:rsid w:val="005D2A3E"/>
    <w:rsid w:val="005E022E"/>
    <w:rsid w:val="005E5215"/>
    <w:rsid w:val="005F7F7E"/>
    <w:rsid w:val="00601F92"/>
    <w:rsid w:val="006118E6"/>
    <w:rsid w:val="00614693"/>
    <w:rsid w:val="00617EA4"/>
    <w:rsid w:val="00623C2F"/>
    <w:rsid w:val="00633578"/>
    <w:rsid w:val="00637068"/>
    <w:rsid w:val="006419CA"/>
    <w:rsid w:val="00650811"/>
    <w:rsid w:val="00655339"/>
    <w:rsid w:val="0065791C"/>
    <w:rsid w:val="00661D3E"/>
    <w:rsid w:val="006817AB"/>
    <w:rsid w:val="0069005D"/>
    <w:rsid w:val="00692627"/>
    <w:rsid w:val="006969E7"/>
    <w:rsid w:val="006A3643"/>
    <w:rsid w:val="006A54F0"/>
    <w:rsid w:val="006B10C2"/>
    <w:rsid w:val="006B1804"/>
    <w:rsid w:val="006B4CEA"/>
    <w:rsid w:val="006B7445"/>
    <w:rsid w:val="006C1E48"/>
    <w:rsid w:val="006C2A29"/>
    <w:rsid w:val="006C64CF"/>
    <w:rsid w:val="006D17B1"/>
    <w:rsid w:val="006D4752"/>
    <w:rsid w:val="006D708A"/>
    <w:rsid w:val="006E0083"/>
    <w:rsid w:val="006E14C1"/>
    <w:rsid w:val="006E1D7A"/>
    <w:rsid w:val="006E3E57"/>
    <w:rsid w:val="006E4D57"/>
    <w:rsid w:val="006F0292"/>
    <w:rsid w:val="006F27FA"/>
    <w:rsid w:val="006F33C8"/>
    <w:rsid w:val="006F416B"/>
    <w:rsid w:val="006F519B"/>
    <w:rsid w:val="00713675"/>
    <w:rsid w:val="00715823"/>
    <w:rsid w:val="00722177"/>
    <w:rsid w:val="0072449C"/>
    <w:rsid w:val="007253EF"/>
    <w:rsid w:val="00737B93"/>
    <w:rsid w:val="00741F19"/>
    <w:rsid w:val="0074358E"/>
    <w:rsid w:val="00745BF0"/>
    <w:rsid w:val="0074CCC2"/>
    <w:rsid w:val="00751EA3"/>
    <w:rsid w:val="007615FE"/>
    <w:rsid w:val="0076521E"/>
    <w:rsid w:val="00765718"/>
    <w:rsid w:val="0076655C"/>
    <w:rsid w:val="00772186"/>
    <w:rsid w:val="007742DC"/>
    <w:rsid w:val="00774520"/>
    <w:rsid w:val="00781A31"/>
    <w:rsid w:val="00791437"/>
    <w:rsid w:val="007A462C"/>
    <w:rsid w:val="007B0C2C"/>
    <w:rsid w:val="007B278E"/>
    <w:rsid w:val="007B5CA2"/>
    <w:rsid w:val="007C5C23"/>
    <w:rsid w:val="007D525A"/>
    <w:rsid w:val="007E2A26"/>
    <w:rsid w:val="007F2348"/>
    <w:rsid w:val="007F4426"/>
    <w:rsid w:val="007F4757"/>
    <w:rsid w:val="007F61E7"/>
    <w:rsid w:val="00803D2F"/>
    <w:rsid w:val="00803F07"/>
    <w:rsid w:val="0080458B"/>
    <w:rsid w:val="00806604"/>
    <w:rsid w:val="0080749A"/>
    <w:rsid w:val="00807D3B"/>
    <w:rsid w:val="00821FB8"/>
    <w:rsid w:val="00822ACD"/>
    <w:rsid w:val="00825F56"/>
    <w:rsid w:val="00827FD1"/>
    <w:rsid w:val="00840B96"/>
    <w:rsid w:val="00850178"/>
    <w:rsid w:val="008502E7"/>
    <w:rsid w:val="00855C66"/>
    <w:rsid w:val="00870FC8"/>
    <w:rsid w:val="00871EE4"/>
    <w:rsid w:val="00877140"/>
    <w:rsid w:val="008954DF"/>
    <w:rsid w:val="008978FE"/>
    <w:rsid w:val="008B293F"/>
    <w:rsid w:val="008B7371"/>
    <w:rsid w:val="008D3DDB"/>
    <w:rsid w:val="008E6FA1"/>
    <w:rsid w:val="008F3B04"/>
    <w:rsid w:val="008F573F"/>
    <w:rsid w:val="009034EC"/>
    <w:rsid w:val="009040E1"/>
    <w:rsid w:val="00906A4E"/>
    <w:rsid w:val="0093067A"/>
    <w:rsid w:val="00932710"/>
    <w:rsid w:val="00941421"/>
    <w:rsid w:val="00941C60"/>
    <w:rsid w:val="00941FD1"/>
    <w:rsid w:val="00950824"/>
    <w:rsid w:val="009610AE"/>
    <w:rsid w:val="009617C2"/>
    <w:rsid w:val="00966D42"/>
    <w:rsid w:val="00970215"/>
    <w:rsid w:val="00971689"/>
    <w:rsid w:val="0097170F"/>
    <w:rsid w:val="00973E90"/>
    <w:rsid w:val="00975B07"/>
    <w:rsid w:val="00975D71"/>
    <w:rsid w:val="00980B4A"/>
    <w:rsid w:val="00983DAA"/>
    <w:rsid w:val="009A0582"/>
    <w:rsid w:val="009A099C"/>
    <w:rsid w:val="009B3A14"/>
    <w:rsid w:val="009B3E8A"/>
    <w:rsid w:val="009C427E"/>
    <w:rsid w:val="009C584F"/>
    <w:rsid w:val="009C6D06"/>
    <w:rsid w:val="009C6DE6"/>
    <w:rsid w:val="009D46A2"/>
    <w:rsid w:val="009E30E2"/>
    <w:rsid w:val="009E3D0A"/>
    <w:rsid w:val="009E51FC"/>
    <w:rsid w:val="009F1D28"/>
    <w:rsid w:val="009F7618"/>
    <w:rsid w:val="009FC168"/>
    <w:rsid w:val="00A04D23"/>
    <w:rsid w:val="00A06766"/>
    <w:rsid w:val="00A074DD"/>
    <w:rsid w:val="00A10BC4"/>
    <w:rsid w:val="00A13765"/>
    <w:rsid w:val="00A17E91"/>
    <w:rsid w:val="00A21B12"/>
    <w:rsid w:val="00A23F80"/>
    <w:rsid w:val="00A25CEE"/>
    <w:rsid w:val="00A25D64"/>
    <w:rsid w:val="00A4534E"/>
    <w:rsid w:val="00A46E98"/>
    <w:rsid w:val="00A53736"/>
    <w:rsid w:val="00A61238"/>
    <w:rsid w:val="00A6352B"/>
    <w:rsid w:val="00A63CDD"/>
    <w:rsid w:val="00A701B5"/>
    <w:rsid w:val="00A714BB"/>
    <w:rsid w:val="00A77147"/>
    <w:rsid w:val="00A800AE"/>
    <w:rsid w:val="00A84FCE"/>
    <w:rsid w:val="00A90E57"/>
    <w:rsid w:val="00A92D8F"/>
    <w:rsid w:val="00A97B51"/>
    <w:rsid w:val="00AB19F4"/>
    <w:rsid w:val="00AB1E61"/>
    <w:rsid w:val="00AB2988"/>
    <w:rsid w:val="00AB3FFC"/>
    <w:rsid w:val="00AB7999"/>
    <w:rsid w:val="00AD3292"/>
    <w:rsid w:val="00AE1684"/>
    <w:rsid w:val="00AE7AF0"/>
    <w:rsid w:val="00AE7BFF"/>
    <w:rsid w:val="00AF0C72"/>
    <w:rsid w:val="00B07205"/>
    <w:rsid w:val="00B242B6"/>
    <w:rsid w:val="00B3301C"/>
    <w:rsid w:val="00B3633F"/>
    <w:rsid w:val="00B41AC8"/>
    <w:rsid w:val="00B500CA"/>
    <w:rsid w:val="00B637DD"/>
    <w:rsid w:val="00B640BE"/>
    <w:rsid w:val="00B7035E"/>
    <w:rsid w:val="00B846AD"/>
    <w:rsid w:val="00B86314"/>
    <w:rsid w:val="00BA1C2E"/>
    <w:rsid w:val="00BA37B1"/>
    <w:rsid w:val="00BC0C45"/>
    <w:rsid w:val="00BC200B"/>
    <w:rsid w:val="00BC4756"/>
    <w:rsid w:val="00BC57B9"/>
    <w:rsid w:val="00BC5FEE"/>
    <w:rsid w:val="00BC69A4"/>
    <w:rsid w:val="00BD23A0"/>
    <w:rsid w:val="00BD6181"/>
    <w:rsid w:val="00BE0680"/>
    <w:rsid w:val="00BE305F"/>
    <w:rsid w:val="00BE7BA3"/>
    <w:rsid w:val="00BF5682"/>
    <w:rsid w:val="00BF7B09"/>
    <w:rsid w:val="00C05260"/>
    <w:rsid w:val="00C076B9"/>
    <w:rsid w:val="00C11EC6"/>
    <w:rsid w:val="00C14ED4"/>
    <w:rsid w:val="00C168AD"/>
    <w:rsid w:val="00C16B47"/>
    <w:rsid w:val="00C20A95"/>
    <w:rsid w:val="00C23855"/>
    <w:rsid w:val="00C2692F"/>
    <w:rsid w:val="00C3207C"/>
    <w:rsid w:val="00C33862"/>
    <w:rsid w:val="00C35EA1"/>
    <w:rsid w:val="00C37296"/>
    <w:rsid w:val="00C400E1"/>
    <w:rsid w:val="00C41187"/>
    <w:rsid w:val="00C4637E"/>
    <w:rsid w:val="00C61F98"/>
    <w:rsid w:val="00C62B4E"/>
    <w:rsid w:val="00C62FA2"/>
    <w:rsid w:val="00C63C31"/>
    <w:rsid w:val="00C7352F"/>
    <w:rsid w:val="00C757A0"/>
    <w:rsid w:val="00C760DE"/>
    <w:rsid w:val="00C82630"/>
    <w:rsid w:val="00C83EFF"/>
    <w:rsid w:val="00C85512"/>
    <w:rsid w:val="00C85B4E"/>
    <w:rsid w:val="00C860D5"/>
    <w:rsid w:val="00C907F7"/>
    <w:rsid w:val="00C930A5"/>
    <w:rsid w:val="00CA2103"/>
    <w:rsid w:val="00CB21E8"/>
    <w:rsid w:val="00CB6B99"/>
    <w:rsid w:val="00CD261F"/>
    <w:rsid w:val="00CE3454"/>
    <w:rsid w:val="00CE4C87"/>
    <w:rsid w:val="00CE544A"/>
    <w:rsid w:val="00CF44A5"/>
    <w:rsid w:val="00D045C1"/>
    <w:rsid w:val="00D06911"/>
    <w:rsid w:val="00D11E1C"/>
    <w:rsid w:val="00D151A2"/>
    <w:rsid w:val="00D160B0"/>
    <w:rsid w:val="00D17F94"/>
    <w:rsid w:val="00D21A92"/>
    <w:rsid w:val="00D223FC"/>
    <w:rsid w:val="00D2321C"/>
    <w:rsid w:val="00D25F7A"/>
    <w:rsid w:val="00D26D1E"/>
    <w:rsid w:val="00D31418"/>
    <w:rsid w:val="00D4613C"/>
    <w:rsid w:val="00D474CF"/>
    <w:rsid w:val="00D5547E"/>
    <w:rsid w:val="00D60565"/>
    <w:rsid w:val="00D6E7B2"/>
    <w:rsid w:val="00D760E1"/>
    <w:rsid w:val="00D85EA7"/>
    <w:rsid w:val="00D860E2"/>
    <w:rsid w:val="00D869A1"/>
    <w:rsid w:val="00D92A86"/>
    <w:rsid w:val="00D9626F"/>
    <w:rsid w:val="00DA413F"/>
    <w:rsid w:val="00DA4584"/>
    <w:rsid w:val="00DA614B"/>
    <w:rsid w:val="00DB54C3"/>
    <w:rsid w:val="00DB5B3B"/>
    <w:rsid w:val="00DB7AD7"/>
    <w:rsid w:val="00DC3060"/>
    <w:rsid w:val="00DC3E49"/>
    <w:rsid w:val="00DC66A0"/>
    <w:rsid w:val="00DC6EEF"/>
    <w:rsid w:val="00DD0490"/>
    <w:rsid w:val="00DD6AE6"/>
    <w:rsid w:val="00DE0FB2"/>
    <w:rsid w:val="00DF093E"/>
    <w:rsid w:val="00DF5B16"/>
    <w:rsid w:val="00DF6AE1"/>
    <w:rsid w:val="00E01F42"/>
    <w:rsid w:val="00E03D1B"/>
    <w:rsid w:val="00E04507"/>
    <w:rsid w:val="00E158E2"/>
    <w:rsid w:val="00E206D6"/>
    <w:rsid w:val="00E24AB8"/>
    <w:rsid w:val="00E26EF1"/>
    <w:rsid w:val="00E3366E"/>
    <w:rsid w:val="00E40AF8"/>
    <w:rsid w:val="00E40D74"/>
    <w:rsid w:val="00E52086"/>
    <w:rsid w:val="00E53940"/>
    <w:rsid w:val="00E543A6"/>
    <w:rsid w:val="00E60479"/>
    <w:rsid w:val="00E61D73"/>
    <w:rsid w:val="00E63202"/>
    <w:rsid w:val="00E70BD7"/>
    <w:rsid w:val="00E73684"/>
    <w:rsid w:val="00E818D6"/>
    <w:rsid w:val="00E81A7D"/>
    <w:rsid w:val="00E850B2"/>
    <w:rsid w:val="00E8622C"/>
    <w:rsid w:val="00E868D3"/>
    <w:rsid w:val="00E87F7A"/>
    <w:rsid w:val="00E94B3E"/>
    <w:rsid w:val="00E96BD7"/>
    <w:rsid w:val="00E97903"/>
    <w:rsid w:val="00EA0DB1"/>
    <w:rsid w:val="00EA0EE9"/>
    <w:rsid w:val="00ED52CA"/>
    <w:rsid w:val="00ED5860"/>
    <w:rsid w:val="00EE0240"/>
    <w:rsid w:val="00EE35C9"/>
    <w:rsid w:val="00EE5131"/>
    <w:rsid w:val="00EF1A74"/>
    <w:rsid w:val="00EF4778"/>
    <w:rsid w:val="00EF5B59"/>
    <w:rsid w:val="00EFE402"/>
    <w:rsid w:val="00F050F4"/>
    <w:rsid w:val="00F05ECA"/>
    <w:rsid w:val="00F2207D"/>
    <w:rsid w:val="00F26E21"/>
    <w:rsid w:val="00F33BF0"/>
    <w:rsid w:val="00F3566E"/>
    <w:rsid w:val="00F36A6C"/>
    <w:rsid w:val="00F375FB"/>
    <w:rsid w:val="00F37DCB"/>
    <w:rsid w:val="00F41AC1"/>
    <w:rsid w:val="00F4367A"/>
    <w:rsid w:val="00F445B1"/>
    <w:rsid w:val="00F45CD4"/>
    <w:rsid w:val="00F50E3E"/>
    <w:rsid w:val="00F57F6D"/>
    <w:rsid w:val="00F631D3"/>
    <w:rsid w:val="00F66DCA"/>
    <w:rsid w:val="00F73049"/>
    <w:rsid w:val="00F74F53"/>
    <w:rsid w:val="00F7606D"/>
    <w:rsid w:val="00F81670"/>
    <w:rsid w:val="00F82024"/>
    <w:rsid w:val="00F84320"/>
    <w:rsid w:val="00F85277"/>
    <w:rsid w:val="00F865A3"/>
    <w:rsid w:val="00F92101"/>
    <w:rsid w:val="00F95BC9"/>
    <w:rsid w:val="00F96AE8"/>
    <w:rsid w:val="00F97442"/>
    <w:rsid w:val="00FA624C"/>
    <w:rsid w:val="00FB3B71"/>
    <w:rsid w:val="00FB65A8"/>
    <w:rsid w:val="00FC0AA1"/>
    <w:rsid w:val="00FD0FAC"/>
    <w:rsid w:val="00FD1DFA"/>
    <w:rsid w:val="00FD4966"/>
    <w:rsid w:val="00FE022A"/>
    <w:rsid w:val="00FE134D"/>
    <w:rsid w:val="00FE42B5"/>
    <w:rsid w:val="00FE57DC"/>
    <w:rsid w:val="00FF095A"/>
    <w:rsid w:val="00FF4379"/>
    <w:rsid w:val="010BCD13"/>
    <w:rsid w:val="011F58E1"/>
    <w:rsid w:val="01443542"/>
    <w:rsid w:val="022D2D7F"/>
    <w:rsid w:val="0254AF96"/>
    <w:rsid w:val="027C716C"/>
    <w:rsid w:val="02A6B38B"/>
    <w:rsid w:val="034D288D"/>
    <w:rsid w:val="0351C514"/>
    <w:rsid w:val="0364D0B3"/>
    <w:rsid w:val="03832A59"/>
    <w:rsid w:val="03908220"/>
    <w:rsid w:val="03DEC8AB"/>
    <w:rsid w:val="03FD3E4A"/>
    <w:rsid w:val="04EF069E"/>
    <w:rsid w:val="04F90B88"/>
    <w:rsid w:val="050F3D58"/>
    <w:rsid w:val="05A35DA5"/>
    <w:rsid w:val="05B94C3D"/>
    <w:rsid w:val="05F6C1E5"/>
    <w:rsid w:val="061E718A"/>
    <w:rsid w:val="0625E69D"/>
    <w:rsid w:val="0640BB81"/>
    <w:rsid w:val="0649E447"/>
    <w:rsid w:val="06DD2E4B"/>
    <w:rsid w:val="0721FD92"/>
    <w:rsid w:val="0769716B"/>
    <w:rsid w:val="07919C8B"/>
    <w:rsid w:val="07D434D5"/>
    <w:rsid w:val="0804E0D0"/>
    <w:rsid w:val="08131233"/>
    <w:rsid w:val="08229471"/>
    <w:rsid w:val="088DF479"/>
    <w:rsid w:val="0922A1F3"/>
    <w:rsid w:val="0929B808"/>
    <w:rsid w:val="097B16EA"/>
    <w:rsid w:val="09963B9E"/>
    <w:rsid w:val="09A2A8F4"/>
    <w:rsid w:val="09C9DDA3"/>
    <w:rsid w:val="09E5B07C"/>
    <w:rsid w:val="0A42164D"/>
    <w:rsid w:val="0AEAD29A"/>
    <w:rsid w:val="0B071A8A"/>
    <w:rsid w:val="0B18307C"/>
    <w:rsid w:val="0B363BFA"/>
    <w:rsid w:val="0B4A1438"/>
    <w:rsid w:val="0B5BD190"/>
    <w:rsid w:val="0B7F0FCE"/>
    <w:rsid w:val="0B89A7FD"/>
    <w:rsid w:val="0B8DC34E"/>
    <w:rsid w:val="0BA5F2DF"/>
    <w:rsid w:val="0BD795D5"/>
    <w:rsid w:val="0BE47B48"/>
    <w:rsid w:val="0C098794"/>
    <w:rsid w:val="0C24B831"/>
    <w:rsid w:val="0C542580"/>
    <w:rsid w:val="0C546132"/>
    <w:rsid w:val="0C88298D"/>
    <w:rsid w:val="0C9A316E"/>
    <w:rsid w:val="0D7146E0"/>
    <w:rsid w:val="0DAA3693"/>
    <w:rsid w:val="0DB255F9"/>
    <w:rsid w:val="0DD7A0FF"/>
    <w:rsid w:val="0DE3D0DB"/>
    <w:rsid w:val="0E137018"/>
    <w:rsid w:val="0E62CAA8"/>
    <w:rsid w:val="0E7BA619"/>
    <w:rsid w:val="0E7FECAD"/>
    <w:rsid w:val="0E9886BA"/>
    <w:rsid w:val="0EB93025"/>
    <w:rsid w:val="0ECD8498"/>
    <w:rsid w:val="0ED4C920"/>
    <w:rsid w:val="0ED8A36F"/>
    <w:rsid w:val="0EE12F59"/>
    <w:rsid w:val="0EFBDE47"/>
    <w:rsid w:val="0F09D958"/>
    <w:rsid w:val="0F3C42AC"/>
    <w:rsid w:val="0F6B6A39"/>
    <w:rsid w:val="0FB9297F"/>
    <w:rsid w:val="0FBF2420"/>
    <w:rsid w:val="0FE7F574"/>
    <w:rsid w:val="101B95F0"/>
    <w:rsid w:val="103A7C2C"/>
    <w:rsid w:val="104C0DC6"/>
    <w:rsid w:val="106410A8"/>
    <w:rsid w:val="1064AB87"/>
    <w:rsid w:val="10662D6F"/>
    <w:rsid w:val="10A8C5F6"/>
    <w:rsid w:val="10F56525"/>
    <w:rsid w:val="10F7C9A7"/>
    <w:rsid w:val="111D65F2"/>
    <w:rsid w:val="1150B387"/>
    <w:rsid w:val="116F2401"/>
    <w:rsid w:val="11757ADE"/>
    <w:rsid w:val="1195390E"/>
    <w:rsid w:val="11DE2519"/>
    <w:rsid w:val="11FD6860"/>
    <w:rsid w:val="120CBF67"/>
    <w:rsid w:val="125B2019"/>
    <w:rsid w:val="12943E52"/>
    <w:rsid w:val="12C27359"/>
    <w:rsid w:val="12D531FA"/>
    <w:rsid w:val="1304A324"/>
    <w:rsid w:val="13A73C5A"/>
    <w:rsid w:val="13AF5795"/>
    <w:rsid w:val="13C4F82A"/>
    <w:rsid w:val="13CD362D"/>
    <w:rsid w:val="140E0FDF"/>
    <w:rsid w:val="14128FB9"/>
    <w:rsid w:val="14429E43"/>
    <w:rsid w:val="14A135EA"/>
    <w:rsid w:val="14A13F0D"/>
    <w:rsid w:val="14C70028"/>
    <w:rsid w:val="14E70A20"/>
    <w:rsid w:val="150E6135"/>
    <w:rsid w:val="1514E506"/>
    <w:rsid w:val="153CDAF9"/>
    <w:rsid w:val="154845D3"/>
    <w:rsid w:val="157FAB27"/>
    <w:rsid w:val="1597C6FA"/>
    <w:rsid w:val="15A4CB33"/>
    <w:rsid w:val="15DDBE56"/>
    <w:rsid w:val="1603759C"/>
    <w:rsid w:val="162A0221"/>
    <w:rsid w:val="16444A04"/>
    <w:rsid w:val="166B484C"/>
    <w:rsid w:val="1698BF5A"/>
    <w:rsid w:val="16A7E670"/>
    <w:rsid w:val="16C788FA"/>
    <w:rsid w:val="16D3F3D6"/>
    <w:rsid w:val="16E40EA8"/>
    <w:rsid w:val="16E88046"/>
    <w:rsid w:val="16EE22BD"/>
    <w:rsid w:val="17C486A4"/>
    <w:rsid w:val="18057BAE"/>
    <w:rsid w:val="181C1DCF"/>
    <w:rsid w:val="18328A18"/>
    <w:rsid w:val="1834E5A0"/>
    <w:rsid w:val="184D96E5"/>
    <w:rsid w:val="187CEEE6"/>
    <w:rsid w:val="18A1DB12"/>
    <w:rsid w:val="18B12936"/>
    <w:rsid w:val="18FB8C16"/>
    <w:rsid w:val="18FE12D0"/>
    <w:rsid w:val="1931EDED"/>
    <w:rsid w:val="1965E150"/>
    <w:rsid w:val="19DC3639"/>
    <w:rsid w:val="19F2670F"/>
    <w:rsid w:val="1A087E8E"/>
    <w:rsid w:val="1A5173BE"/>
    <w:rsid w:val="1AC1C9BB"/>
    <w:rsid w:val="1B038C43"/>
    <w:rsid w:val="1B04DF9B"/>
    <w:rsid w:val="1B51F556"/>
    <w:rsid w:val="1B624417"/>
    <w:rsid w:val="1B742B64"/>
    <w:rsid w:val="1B7BC080"/>
    <w:rsid w:val="1BC0B843"/>
    <w:rsid w:val="1BC0CCFA"/>
    <w:rsid w:val="1BCDCDAB"/>
    <w:rsid w:val="1BD7A981"/>
    <w:rsid w:val="1BDE6ACD"/>
    <w:rsid w:val="1C62DB68"/>
    <w:rsid w:val="1C83AB85"/>
    <w:rsid w:val="1CA88ADD"/>
    <w:rsid w:val="1CF82AEA"/>
    <w:rsid w:val="1D422880"/>
    <w:rsid w:val="1D48BCC0"/>
    <w:rsid w:val="1D4A2CAE"/>
    <w:rsid w:val="1DEAA206"/>
    <w:rsid w:val="1E26DFBD"/>
    <w:rsid w:val="1E2AA5CE"/>
    <w:rsid w:val="1E330DCB"/>
    <w:rsid w:val="1E45FADF"/>
    <w:rsid w:val="1E497E5E"/>
    <w:rsid w:val="1E63D6D6"/>
    <w:rsid w:val="1EB84016"/>
    <w:rsid w:val="1EBDE1F7"/>
    <w:rsid w:val="1EDBD68B"/>
    <w:rsid w:val="1EE8A2DC"/>
    <w:rsid w:val="1F23A2A4"/>
    <w:rsid w:val="1F3FE9F2"/>
    <w:rsid w:val="1FAA1EF1"/>
    <w:rsid w:val="1FB46539"/>
    <w:rsid w:val="1FB671D7"/>
    <w:rsid w:val="1FEBC00D"/>
    <w:rsid w:val="20089D9D"/>
    <w:rsid w:val="20108708"/>
    <w:rsid w:val="203A830E"/>
    <w:rsid w:val="207C0657"/>
    <w:rsid w:val="2091943E"/>
    <w:rsid w:val="20A7F83F"/>
    <w:rsid w:val="20C506D0"/>
    <w:rsid w:val="20CC58A4"/>
    <w:rsid w:val="20DC0180"/>
    <w:rsid w:val="20E4735B"/>
    <w:rsid w:val="212A6A9E"/>
    <w:rsid w:val="21A07140"/>
    <w:rsid w:val="21DAC40C"/>
    <w:rsid w:val="21F57204"/>
    <w:rsid w:val="2205107A"/>
    <w:rsid w:val="222139F0"/>
    <w:rsid w:val="22BD9CA2"/>
    <w:rsid w:val="22E075A3"/>
    <w:rsid w:val="22ECFA78"/>
    <w:rsid w:val="22F0553C"/>
    <w:rsid w:val="2388013C"/>
    <w:rsid w:val="238A6E87"/>
    <w:rsid w:val="23CD87D7"/>
    <w:rsid w:val="23DEF64C"/>
    <w:rsid w:val="24715213"/>
    <w:rsid w:val="24839E52"/>
    <w:rsid w:val="24AA93AA"/>
    <w:rsid w:val="24BAF321"/>
    <w:rsid w:val="250142AA"/>
    <w:rsid w:val="255D593D"/>
    <w:rsid w:val="25C8DF4C"/>
    <w:rsid w:val="25D026E3"/>
    <w:rsid w:val="25D4CF11"/>
    <w:rsid w:val="25F5C34C"/>
    <w:rsid w:val="2624ADE8"/>
    <w:rsid w:val="263D3339"/>
    <w:rsid w:val="266999CD"/>
    <w:rsid w:val="26F7D596"/>
    <w:rsid w:val="26F8A523"/>
    <w:rsid w:val="26F986C4"/>
    <w:rsid w:val="27395084"/>
    <w:rsid w:val="274DE58F"/>
    <w:rsid w:val="27552C21"/>
    <w:rsid w:val="27597F6B"/>
    <w:rsid w:val="275A43EB"/>
    <w:rsid w:val="278ACBEA"/>
    <w:rsid w:val="279C70D7"/>
    <w:rsid w:val="27D8D00F"/>
    <w:rsid w:val="27DB11CB"/>
    <w:rsid w:val="27DBA64C"/>
    <w:rsid w:val="27DEA83C"/>
    <w:rsid w:val="2819335A"/>
    <w:rsid w:val="281CC98D"/>
    <w:rsid w:val="28277F8E"/>
    <w:rsid w:val="282C914F"/>
    <w:rsid w:val="285173D3"/>
    <w:rsid w:val="2862A676"/>
    <w:rsid w:val="2875A525"/>
    <w:rsid w:val="2898D4DA"/>
    <w:rsid w:val="28E5EBCD"/>
    <w:rsid w:val="28FD445D"/>
    <w:rsid w:val="2933D543"/>
    <w:rsid w:val="2963ECA5"/>
    <w:rsid w:val="29894939"/>
    <w:rsid w:val="29A029B2"/>
    <w:rsid w:val="29ADC808"/>
    <w:rsid w:val="29D6BE88"/>
    <w:rsid w:val="29F92CE2"/>
    <w:rsid w:val="2A18FBF2"/>
    <w:rsid w:val="2B008948"/>
    <w:rsid w:val="2B266701"/>
    <w:rsid w:val="2B3C8D8F"/>
    <w:rsid w:val="2B99C526"/>
    <w:rsid w:val="2BABE6E7"/>
    <w:rsid w:val="2BC0E8AB"/>
    <w:rsid w:val="2BD21D49"/>
    <w:rsid w:val="2BD73B11"/>
    <w:rsid w:val="2BDF0B1C"/>
    <w:rsid w:val="2C15DA79"/>
    <w:rsid w:val="2C1A1370"/>
    <w:rsid w:val="2C1AEF8D"/>
    <w:rsid w:val="2C5BE68F"/>
    <w:rsid w:val="2C8B7744"/>
    <w:rsid w:val="2CA02AFA"/>
    <w:rsid w:val="2CDC4CB2"/>
    <w:rsid w:val="2CE70AE0"/>
    <w:rsid w:val="2D0357C7"/>
    <w:rsid w:val="2D0D995B"/>
    <w:rsid w:val="2D36E796"/>
    <w:rsid w:val="2D67C4E6"/>
    <w:rsid w:val="2D7DC970"/>
    <w:rsid w:val="2D938538"/>
    <w:rsid w:val="2DC2B855"/>
    <w:rsid w:val="2DD7C14D"/>
    <w:rsid w:val="2E087B90"/>
    <w:rsid w:val="2E18BC95"/>
    <w:rsid w:val="2E2E8531"/>
    <w:rsid w:val="2E367327"/>
    <w:rsid w:val="2E99E856"/>
    <w:rsid w:val="2EF4D954"/>
    <w:rsid w:val="2EFFDE4D"/>
    <w:rsid w:val="2F5F1053"/>
    <w:rsid w:val="2F6FA9A1"/>
    <w:rsid w:val="3021309C"/>
    <w:rsid w:val="303935EE"/>
    <w:rsid w:val="303A89F7"/>
    <w:rsid w:val="303E66F5"/>
    <w:rsid w:val="304FE804"/>
    <w:rsid w:val="3077FDE7"/>
    <w:rsid w:val="30A789DE"/>
    <w:rsid w:val="30D6BFD0"/>
    <w:rsid w:val="30FDD0EA"/>
    <w:rsid w:val="3128108F"/>
    <w:rsid w:val="3174181A"/>
    <w:rsid w:val="31931B21"/>
    <w:rsid w:val="32443F4B"/>
    <w:rsid w:val="3278F44A"/>
    <w:rsid w:val="32891047"/>
    <w:rsid w:val="32CD41C3"/>
    <w:rsid w:val="3323D874"/>
    <w:rsid w:val="3368A0A2"/>
    <w:rsid w:val="33862383"/>
    <w:rsid w:val="33A5330B"/>
    <w:rsid w:val="33B574A2"/>
    <w:rsid w:val="33C8C2FF"/>
    <w:rsid w:val="3485CB42"/>
    <w:rsid w:val="3499B23B"/>
    <w:rsid w:val="34C5ADE6"/>
    <w:rsid w:val="34C949E6"/>
    <w:rsid w:val="34DFF267"/>
    <w:rsid w:val="34ECE2A5"/>
    <w:rsid w:val="34EE0BA3"/>
    <w:rsid w:val="35613C19"/>
    <w:rsid w:val="359F9919"/>
    <w:rsid w:val="35B7D94D"/>
    <w:rsid w:val="35D4BDC8"/>
    <w:rsid w:val="35E68B5F"/>
    <w:rsid w:val="35EDD262"/>
    <w:rsid w:val="360AE748"/>
    <w:rsid w:val="36192BE6"/>
    <w:rsid w:val="362EC3C9"/>
    <w:rsid w:val="3671A9A7"/>
    <w:rsid w:val="368BE102"/>
    <w:rsid w:val="3692D9C3"/>
    <w:rsid w:val="36A174CE"/>
    <w:rsid w:val="36D1A7F3"/>
    <w:rsid w:val="3742E73C"/>
    <w:rsid w:val="3797E468"/>
    <w:rsid w:val="37A0C800"/>
    <w:rsid w:val="37C2F4E5"/>
    <w:rsid w:val="37C783B7"/>
    <w:rsid w:val="37DD3D72"/>
    <w:rsid w:val="37F5F028"/>
    <w:rsid w:val="380906C3"/>
    <w:rsid w:val="380F64FA"/>
    <w:rsid w:val="3862C62A"/>
    <w:rsid w:val="38794878"/>
    <w:rsid w:val="389E9FA3"/>
    <w:rsid w:val="38C4BD77"/>
    <w:rsid w:val="39005CB3"/>
    <w:rsid w:val="397C2293"/>
    <w:rsid w:val="39BD5852"/>
    <w:rsid w:val="39EFD5FB"/>
    <w:rsid w:val="3A028991"/>
    <w:rsid w:val="3A1580BC"/>
    <w:rsid w:val="3A353ADB"/>
    <w:rsid w:val="3A4B2950"/>
    <w:rsid w:val="3A99C29B"/>
    <w:rsid w:val="3AA0A86F"/>
    <w:rsid w:val="3B0CA6D3"/>
    <w:rsid w:val="3B2A7FA8"/>
    <w:rsid w:val="3B9715CE"/>
    <w:rsid w:val="3B9C307F"/>
    <w:rsid w:val="3BB43EC8"/>
    <w:rsid w:val="3BB5B299"/>
    <w:rsid w:val="3BC7545A"/>
    <w:rsid w:val="3BD5ACD6"/>
    <w:rsid w:val="3BDEB64B"/>
    <w:rsid w:val="3BE68A39"/>
    <w:rsid w:val="3C3271C5"/>
    <w:rsid w:val="3C64FB33"/>
    <w:rsid w:val="3C9559B9"/>
    <w:rsid w:val="3CA4D03D"/>
    <w:rsid w:val="3D1C9C5D"/>
    <w:rsid w:val="3D3754D3"/>
    <w:rsid w:val="3D3F0DA0"/>
    <w:rsid w:val="3D75EE1D"/>
    <w:rsid w:val="3D91BA5B"/>
    <w:rsid w:val="3D964097"/>
    <w:rsid w:val="3DD658C0"/>
    <w:rsid w:val="3DEC552C"/>
    <w:rsid w:val="3E30D6CD"/>
    <w:rsid w:val="3E501CA4"/>
    <w:rsid w:val="3E577EC2"/>
    <w:rsid w:val="3E73BC3F"/>
    <w:rsid w:val="3E75E54E"/>
    <w:rsid w:val="3E7AA998"/>
    <w:rsid w:val="3F259D83"/>
    <w:rsid w:val="3F75781A"/>
    <w:rsid w:val="3FCB00AD"/>
    <w:rsid w:val="3FCCD6D0"/>
    <w:rsid w:val="3FE773CE"/>
    <w:rsid w:val="400E6628"/>
    <w:rsid w:val="4010F3A8"/>
    <w:rsid w:val="4019C070"/>
    <w:rsid w:val="40626B8C"/>
    <w:rsid w:val="407F3117"/>
    <w:rsid w:val="409178C5"/>
    <w:rsid w:val="40A2F3E9"/>
    <w:rsid w:val="40C328B7"/>
    <w:rsid w:val="410A6CE1"/>
    <w:rsid w:val="4127277E"/>
    <w:rsid w:val="41396389"/>
    <w:rsid w:val="4165F553"/>
    <w:rsid w:val="41E1427F"/>
    <w:rsid w:val="42A18A17"/>
    <w:rsid w:val="42C6E5E1"/>
    <w:rsid w:val="42D42E11"/>
    <w:rsid w:val="431C3BF6"/>
    <w:rsid w:val="432967A7"/>
    <w:rsid w:val="433A29E1"/>
    <w:rsid w:val="434B9230"/>
    <w:rsid w:val="4398AFB9"/>
    <w:rsid w:val="43F42839"/>
    <w:rsid w:val="44297EA4"/>
    <w:rsid w:val="444705DC"/>
    <w:rsid w:val="4466CD28"/>
    <w:rsid w:val="4483B768"/>
    <w:rsid w:val="4531A42E"/>
    <w:rsid w:val="45F43190"/>
    <w:rsid w:val="4637D681"/>
    <w:rsid w:val="463D27A1"/>
    <w:rsid w:val="46778CDD"/>
    <w:rsid w:val="4698961F"/>
    <w:rsid w:val="46C94498"/>
    <w:rsid w:val="46D332DD"/>
    <w:rsid w:val="47265693"/>
    <w:rsid w:val="47292318"/>
    <w:rsid w:val="473B4C0A"/>
    <w:rsid w:val="47509E2E"/>
    <w:rsid w:val="477166C5"/>
    <w:rsid w:val="48286CDD"/>
    <w:rsid w:val="486D46F2"/>
    <w:rsid w:val="4888DC2B"/>
    <w:rsid w:val="48AF63F8"/>
    <w:rsid w:val="48B7AD6C"/>
    <w:rsid w:val="48CDFB65"/>
    <w:rsid w:val="48D1B216"/>
    <w:rsid w:val="48E4AF64"/>
    <w:rsid w:val="48F59128"/>
    <w:rsid w:val="48F86E43"/>
    <w:rsid w:val="4909D66A"/>
    <w:rsid w:val="495E376D"/>
    <w:rsid w:val="49931274"/>
    <w:rsid w:val="49A95658"/>
    <w:rsid w:val="49C5081F"/>
    <w:rsid w:val="49DACB31"/>
    <w:rsid w:val="49E39553"/>
    <w:rsid w:val="4A0E46B2"/>
    <w:rsid w:val="4A3429B9"/>
    <w:rsid w:val="4A3817A3"/>
    <w:rsid w:val="4A5A105B"/>
    <w:rsid w:val="4A72AB25"/>
    <w:rsid w:val="4A978A3B"/>
    <w:rsid w:val="4A986403"/>
    <w:rsid w:val="4A98B99C"/>
    <w:rsid w:val="4B529EE3"/>
    <w:rsid w:val="4B57DF6E"/>
    <w:rsid w:val="4B89F359"/>
    <w:rsid w:val="4B8AE211"/>
    <w:rsid w:val="4B8FB435"/>
    <w:rsid w:val="4BAE7B5F"/>
    <w:rsid w:val="4C285F4E"/>
    <w:rsid w:val="4C5CCD95"/>
    <w:rsid w:val="4C5ED1E1"/>
    <w:rsid w:val="4C8FB0F5"/>
    <w:rsid w:val="4D70E816"/>
    <w:rsid w:val="4DC9FD09"/>
    <w:rsid w:val="4DF06A9C"/>
    <w:rsid w:val="4DF3C1AD"/>
    <w:rsid w:val="4E129B66"/>
    <w:rsid w:val="4E1826B1"/>
    <w:rsid w:val="4E2778C3"/>
    <w:rsid w:val="4E4892CF"/>
    <w:rsid w:val="4E9AEDD5"/>
    <w:rsid w:val="4EB69B56"/>
    <w:rsid w:val="4ECA6807"/>
    <w:rsid w:val="4ED74C13"/>
    <w:rsid w:val="4F1E26DB"/>
    <w:rsid w:val="4F586EE5"/>
    <w:rsid w:val="4FE01DBA"/>
    <w:rsid w:val="501F5DE0"/>
    <w:rsid w:val="5023D762"/>
    <w:rsid w:val="5059D2A5"/>
    <w:rsid w:val="50ABAAC6"/>
    <w:rsid w:val="50EE1A23"/>
    <w:rsid w:val="50F8AFE1"/>
    <w:rsid w:val="51049B70"/>
    <w:rsid w:val="517F1CBE"/>
    <w:rsid w:val="51D8013E"/>
    <w:rsid w:val="52141FE7"/>
    <w:rsid w:val="52AF0C20"/>
    <w:rsid w:val="52CF8734"/>
    <w:rsid w:val="530E7F80"/>
    <w:rsid w:val="53124442"/>
    <w:rsid w:val="532DB0BA"/>
    <w:rsid w:val="532F3FCA"/>
    <w:rsid w:val="5336A5AF"/>
    <w:rsid w:val="53442EAD"/>
    <w:rsid w:val="535397A3"/>
    <w:rsid w:val="539886DD"/>
    <w:rsid w:val="539948A3"/>
    <w:rsid w:val="53D615F5"/>
    <w:rsid w:val="53DFF02E"/>
    <w:rsid w:val="53F93AF2"/>
    <w:rsid w:val="53FFAE08"/>
    <w:rsid w:val="54358AF3"/>
    <w:rsid w:val="54518FE2"/>
    <w:rsid w:val="546EB632"/>
    <w:rsid w:val="5499D13F"/>
    <w:rsid w:val="54A1D0ED"/>
    <w:rsid w:val="54A263D0"/>
    <w:rsid w:val="54BD7E5A"/>
    <w:rsid w:val="54CD0A69"/>
    <w:rsid w:val="54DDE6E9"/>
    <w:rsid w:val="54F3ECA1"/>
    <w:rsid w:val="5550354B"/>
    <w:rsid w:val="557175B6"/>
    <w:rsid w:val="55C3581F"/>
    <w:rsid w:val="55E157BD"/>
    <w:rsid w:val="560FF735"/>
    <w:rsid w:val="561782DD"/>
    <w:rsid w:val="562DCFA1"/>
    <w:rsid w:val="56892CE7"/>
    <w:rsid w:val="56A1F883"/>
    <w:rsid w:val="56C03851"/>
    <w:rsid w:val="56D09CE0"/>
    <w:rsid w:val="571C62E4"/>
    <w:rsid w:val="5724453D"/>
    <w:rsid w:val="578E8202"/>
    <w:rsid w:val="57DF4F23"/>
    <w:rsid w:val="5835BC83"/>
    <w:rsid w:val="5890D86A"/>
    <w:rsid w:val="58ABF4BF"/>
    <w:rsid w:val="58B4172D"/>
    <w:rsid w:val="58C16BAB"/>
    <w:rsid w:val="58C9C21A"/>
    <w:rsid w:val="58F91C9A"/>
    <w:rsid w:val="59E5333B"/>
    <w:rsid w:val="5A20CA85"/>
    <w:rsid w:val="5A308A8B"/>
    <w:rsid w:val="5A3FBD25"/>
    <w:rsid w:val="5AC368FA"/>
    <w:rsid w:val="5AC8770F"/>
    <w:rsid w:val="5B01178B"/>
    <w:rsid w:val="5B364E0D"/>
    <w:rsid w:val="5B4B5BB3"/>
    <w:rsid w:val="5B8EB1BC"/>
    <w:rsid w:val="5B9468EC"/>
    <w:rsid w:val="5C050DB7"/>
    <w:rsid w:val="5C2301F2"/>
    <w:rsid w:val="5C65ACBF"/>
    <w:rsid w:val="5C94313F"/>
    <w:rsid w:val="5CAEBB1D"/>
    <w:rsid w:val="5CD2A867"/>
    <w:rsid w:val="5D0EC0A9"/>
    <w:rsid w:val="5D134405"/>
    <w:rsid w:val="5D405F9B"/>
    <w:rsid w:val="5D6EE46E"/>
    <w:rsid w:val="5D840B0B"/>
    <w:rsid w:val="5DC903FC"/>
    <w:rsid w:val="5DD92654"/>
    <w:rsid w:val="5DE266D2"/>
    <w:rsid w:val="5DE62121"/>
    <w:rsid w:val="5DEC4985"/>
    <w:rsid w:val="5E0502B2"/>
    <w:rsid w:val="5EA82292"/>
    <w:rsid w:val="5F27DE9B"/>
    <w:rsid w:val="5F455336"/>
    <w:rsid w:val="5F495249"/>
    <w:rsid w:val="5F85F7AB"/>
    <w:rsid w:val="5FB3EA2F"/>
    <w:rsid w:val="5FCEE2A9"/>
    <w:rsid w:val="5FE4F777"/>
    <w:rsid w:val="5FEB3AEF"/>
    <w:rsid w:val="60227AD3"/>
    <w:rsid w:val="6026A95D"/>
    <w:rsid w:val="604AF892"/>
    <w:rsid w:val="60687225"/>
    <w:rsid w:val="60B35EF8"/>
    <w:rsid w:val="60B92402"/>
    <w:rsid w:val="60C47BEA"/>
    <w:rsid w:val="60F5F204"/>
    <w:rsid w:val="613D2893"/>
    <w:rsid w:val="61925B25"/>
    <w:rsid w:val="61A86AA0"/>
    <w:rsid w:val="6209030B"/>
    <w:rsid w:val="626A98C3"/>
    <w:rsid w:val="62756F1C"/>
    <w:rsid w:val="62869BCD"/>
    <w:rsid w:val="62AE8EAD"/>
    <w:rsid w:val="62B73EE3"/>
    <w:rsid w:val="634CD82A"/>
    <w:rsid w:val="636BDC7A"/>
    <w:rsid w:val="63FF7DD8"/>
    <w:rsid w:val="641959AA"/>
    <w:rsid w:val="6465A96F"/>
    <w:rsid w:val="64BE385E"/>
    <w:rsid w:val="64D1415E"/>
    <w:rsid w:val="65575462"/>
    <w:rsid w:val="65AB94FA"/>
    <w:rsid w:val="65E900C3"/>
    <w:rsid w:val="66EB8CBA"/>
    <w:rsid w:val="66EEB3AF"/>
    <w:rsid w:val="66F9FA11"/>
    <w:rsid w:val="672AB6D0"/>
    <w:rsid w:val="6791676D"/>
    <w:rsid w:val="67BD5971"/>
    <w:rsid w:val="67D7201E"/>
    <w:rsid w:val="67E2C564"/>
    <w:rsid w:val="681E1254"/>
    <w:rsid w:val="68339573"/>
    <w:rsid w:val="6845A165"/>
    <w:rsid w:val="685C2DB6"/>
    <w:rsid w:val="686F1447"/>
    <w:rsid w:val="68816854"/>
    <w:rsid w:val="68C1CD4C"/>
    <w:rsid w:val="69259475"/>
    <w:rsid w:val="694244D5"/>
    <w:rsid w:val="69951B21"/>
    <w:rsid w:val="6A2FA6F5"/>
    <w:rsid w:val="6A325A14"/>
    <w:rsid w:val="6A377545"/>
    <w:rsid w:val="6A5823AC"/>
    <w:rsid w:val="6AA32922"/>
    <w:rsid w:val="6AD7D4D5"/>
    <w:rsid w:val="6B11D25C"/>
    <w:rsid w:val="6B5C6CC8"/>
    <w:rsid w:val="6B6588D2"/>
    <w:rsid w:val="6B90A578"/>
    <w:rsid w:val="6BFBC2A1"/>
    <w:rsid w:val="6C0A573E"/>
    <w:rsid w:val="6C2CB1E2"/>
    <w:rsid w:val="6C3B4E12"/>
    <w:rsid w:val="6C66090F"/>
    <w:rsid w:val="6CDAD59D"/>
    <w:rsid w:val="6D367DFA"/>
    <w:rsid w:val="6DB34F75"/>
    <w:rsid w:val="6DB3A6EE"/>
    <w:rsid w:val="6E339AB0"/>
    <w:rsid w:val="6E4E0B7D"/>
    <w:rsid w:val="6E7E6364"/>
    <w:rsid w:val="6ECA3545"/>
    <w:rsid w:val="6ECD067C"/>
    <w:rsid w:val="6EDD21C0"/>
    <w:rsid w:val="6EF5F669"/>
    <w:rsid w:val="6F1B938E"/>
    <w:rsid w:val="6F578769"/>
    <w:rsid w:val="70040629"/>
    <w:rsid w:val="7008E995"/>
    <w:rsid w:val="705C2ABF"/>
    <w:rsid w:val="7083B672"/>
    <w:rsid w:val="70A055A9"/>
    <w:rsid w:val="70C8014E"/>
    <w:rsid w:val="70D44F97"/>
    <w:rsid w:val="70F8304B"/>
    <w:rsid w:val="718C83AB"/>
    <w:rsid w:val="71A37D73"/>
    <w:rsid w:val="71BA5944"/>
    <w:rsid w:val="71C557B0"/>
    <w:rsid w:val="71D37FE9"/>
    <w:rsid w:val="71E09550"/>
    <w:rsid w:val="7247DC40"/>
    <w:rsid w:val="7276546A"/>
    <w:rsid w:val="729BB64E"/>
    <w:rsid w:val="72B2516B"/>
    <w:rsid w:val="72CEF84D"/>
    <w:rsid w:val="72ECE42B"/>
    <w:rsid w:val="72FC29C6"/>
    <w:rsid w:val="73114D0B"/>
    <w:rsid w:val="731567F2"/>
    <w:rsid w:val="73524E4C"/>
    <w:rsid w:val="7378B63B"/>
    <w:rsid w:val="73887A5D"/>
    <w:rsid w:val="73A4CB7D"/>
    <w:rsid w:val="748A2EC0"/>
    <w:rsid w:val="74B7FE44"/>
    <w:rsid w:val="74CCABC5"/>
    <w:rsid w:val="755210C4"/>
    <w:rsid w:val="756260B1"/>
    <w:rsid w:val="75A5C9C9"/>
    <w:rsid w:val="75A9439C"/>
    <w:rsid w:val="75B176E8"/>
    <w:rsid w:val="75CF55F0"/>
    <w:rsid w:val="75E01BB2"/>
    <w:rsid w:val="76394243"/>
    <w:rsid w:val="763A98B6"/>
    <w:rsid w:val="763D0FF6"/>
    <w:rsid w:val="768F9D74"/>
    <w:rsid w:val="769EA49D"/>
    <w:rsid w:val="76D8CABF"/>
    <w:rsid w:val="77538F55"/>
    <w:rsid w:val="77E43EB9"/>
    <w:rsid w:val="77E4A18B"/>
    <w:rsid w:val="7808B35B"/>
    <w:rsid w:val="7869C3BA"/>
    <w:rsid w:val="78F71482"/>
    <w:rsid w:val="78F8A92B"/>
    <w:rsid w:val="799D7F9F"/>
    <w:rsid w:val="79A950FA"/>
    <w:rsid w:val="79D56571"/>
    <w:rsid w:val="79DCCB4C"/>
    <w:rsid w:val="79DFC22A"/>
    <w:rsid w:val="79FEC0EB"/>
    <w:rsid w:val="7A2DA61F"/>
    <w:rsid w:val="7A67C53F"/>
    <w:rsid w:val="7B0ACF8F"/>
    <w:rsid w:val="7B3F0884"/>
    <w:rsid w:val="7B7B937D"/>
    <w:rsid w:val="7B865C55"/>
    <w:rsid w:val="7BA6286C"/>
    <w:rsid w:val="7BAF48BC"/>
    <w:rsid w:val="7C29EC55"/>
    <w:rsid w:val="7C3FF3CB"/>
    <w:rsid w:val="7C4B86BE"/>
    <w:rsid w:val="7C829C5D"/>
    <w:rsid w:val="7C92AA3E"/>
    <w:rsid w:val="7CB1905B"/>
    <w:rsid w:val="7D05525F"/>
    <w:rsid w:val="7D26C343"/>
    <w:rsid w:val="7D3B3B9C"/>
    <w:rsid w:val="7D54F98E"/>
    <w:rsid w:val="7D5575D7"/>
    <w:rsid w:val="7D564401"/>
    <w:rsid w:val="7D595B49"/>
    <w:rsid w:val="7D5A8A17"/>
    <w:rsid w:val="7DB50D7E"/>
    <w:rsid w:val="7DCFA471"/>
    <w:rsid w:val="7DD31D67"/>
    <w:rsid w:val="7E077AF5"/>
    <w:rsid w:val="7E119080"/>
    <w:rsid w:val="7E384248"/>
    <w:rsid w:val="7E90B648"/>
    <w:rsid w:val="7EF2FC35"/>
    <w:rsid w:val="7EFFB460"/>
    <w:rsid w:val="7F00EB85"/>
    <w:rsid w:val="7F16DC18"/>
    <w:rsid w:val="7F2DA6B5"/>
    <w:rsid w:val="7F3A433D"/>
    <w:rsid w:val="7F4FF3D9"/>
    <w:rsid w:val="7F66FCA5"/>
    <w:rsid w:val="7FE295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7421A9"/>
  <w15:docId w15:val="{B6BBC4D3-A589-401C-9CD8-1A7E9BC4D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585F76"/>
    <w:pPr>
      <w:spacing w:after="120"/>
    </w:pPr>
    <w:rPr>
      <w:color w:val="000000"/>
      <w:sz w:val="24"/>
      <w:szCs w:val="24"/>
    </w:rPr>
  </w:style>
  <w:style w:type="paragraph" w:styleId="Heading1">
    <w:name w:val="heading 1"/>
    <w:aliases w:val="aHeading"/>
    <w:basedOn w:val="Normal"/>
    <w:next w:val="Normal"/>
    <w:link w:val="Heading1Char"/>
    <w:qFormat/>
    <w:rsid w:val="002B6836"/>
    <w:pPr>
      <w:spacing w:before="240"/>
      <w:outlineLvl w:val="0"/>
    </w:pPr>
    <w:rPr>
      <w:b/>
    </w:rPr>
  </w:style>
  <w:style w:type="paragraph" w:styleId="Heading2">
    <w:name w:val="heading 2"/>
    <w:aliases w:val="Sub-heading"/>
    <w:basedOn w:val="Normal"/>
    <w:next w:val="Normal"/>
    <w:qFormat/>
    <w:rsid w:val="00F26E21"/>
    <w:pPr>
      <w:spacing w:before="120"/>
      <w:outlineLvl w:val="1"/>
    </w:pPr>
    <w:rPr>
      <w:u w:val="singl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rsid w:val="004A6D2F"/>
    <w:pPr>
      <w:tabs>
        <w:tab w:val="center" w:pos="4153"/>
        <w:tab w:val="right" w:pos="8306"/>
      </w:tabs>
    </w:pPr>
    <w:rPr>
      <w:sz w:val="18"/>
    </w:rPr>
  </w:style>
  <w:style w:type="paragraph" w:styleId="Footer">
    <w:name w:val="footer"/>
    <w:aliases w:val="zzFooter"/>
    <w:basedOn w:val="Normal"/>
    <w:link w:val="FooterChar"/>
    <w:uiPriority w:val="99"/>
    <w:rsid w:val="004A6D2F"/>
    <w:pPr>
      <w:tabs>
        <w:tab w:val="center" w:pos="4153"/>
        <w:tab w:val="right" w:pos="8306"/>
      </w:tabs>
    </w:pPr>
    <w:rPr>
      <w:sz w:val="18"/>
    </w:rPr>
  </w:style>
  <w:style w:type="paragraph" w:styleId="NormalWeb">
    <w:name w:val="Normal (Web)"/>
    <w:basedOn w:val="Normal"/>
    <w:pPr>
      <w:spacing w:before="100" w:beforeAutospacing="1" w:after="100" w:afterAutospacing="1"/>
    </w:pPr>
    <w:rPr>
      <w:rFonts w:ascii="Arial Unicode MS" w:hAnsi="Arial Unicode MS" w:eastAsia="Arial Unicode MS" w:cs="Arial Unicode MS"/>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numbering" w:styleId="StyleBulletedSymbolsymbolLeft063cmHanging063cm" w:customStyle="1">
    <w:name w:val="Style Bulleted Symbol (symbol) Left:  0.63 cm Hanging:  0.63 cm"/>
    <w:basedOn w:val="NoList"/>
    <w:rsid w:val="00E818D6"/>
    <w:pPr>
      <w:numPr>
        <w:numId w:val="16"/>
      </w:numPr>
    </w:pPr>
  </w:style>
  <w:style w:type="character" w:styleId="PageNumber">
    <w:name w:val="page number"/>
    <w:rsid w:val="004A6D2F"/>
    <w:rPr>
      <w:rFonts w:ascii="Arial" w:hAnsi="Arial"/>
      <w:sz w:val="18"/>
    </w:rPr>
  </w:style>
  <w:style w:type="character" w:styleId="Hyperlink">
    <w:name w:val="Hyperlink"/>
    <w:aliases w:val="set Hyperlink"/>
    <w:qFormat/>
    <w:rsid w:val="003D2574"/>
    <w:rPr>
      <w:rFonts w:ascii="Arial" w:hAnsi="Arial"/>
      <w:color w:val="0000FF"/>
      <w:sz w:val="24"/>
      <w:u w:val="single"/>
    </w:rPr>
  </w:style>
  <w:style w:type="table" w:styleId="TableGrid">
    <w:name w:val="Table Grid"/>
    <w:basedOn w:val="TableNormal"/>
    <w:rsid w:val="001A066A"/>
    <w:tblPr/>
  </w:style>
  <w:style w:type="paragraph" w:styleId="NoSpacing">
    <w:name w:val="No Spacing"/>
    <w:uiPriority w:val="1"/>
    <w:rsid w:val="00E96BD7"/>
    <w:pPr>
      <w:spacing w:after="120"/>
    </w:pPr>
    <w:rPr>
      <w:color w:val="000000"/>
      <w:sz w:val="24"/>
      <w:szCs w:val="24"/>
      <w:lang w:eastAsia="en-US"/>
    </w:rPr>
  </w:style>
  <w:style w:type="paragraph" w:styleId="ListParagraph">
    <w:name w:val="List Paragraph"/>
    <w:basedOn w:val="Normal"/>
    <w:link w:val="ListParagraphChar"/>
    <w:uiPriority w:val="34"/>
    <w:qFormat/>
    <w:rsid w:val="005570B5"/>
    <w:pPr>
      <w:numPr>
        <w:numId w:val="20"/>
      </w:numPr>
      <w:tabs>
        <w:tab w:val="left" w:pos="426"/>
      </w:tabs>
    </w:pPr>
  </w:style>
  <w:style w:type="character" w:styleId="HeaderChar" w:customStyle="1">
    <w:name w:val="Header Char"/>
    <w:link w:val="Header"/>
    <w:uiPriority w:val="99"/>
    <w:rsid w:val="004A6D2F"/>
    <w:rPr>
      <w:rFonts w:ascii="Arial" w:hAnsi="Arial"/>
      <w:bCs/>
      <w:color w:val="000000"/>
      <w:sz w:val="18"/>
      <w:szCs w:val="24"/>
      <w:lang w:eastAsia="en-US"/>
    </w:rPr>
  </w:style>
  <w:style w:type="table" w:styleId="LightList-Accent2">
    <w:name w:val="Light List Accent 2"/>
    <w:basedOn w:val="TableNormal"/>
    <w:uiPriority w:val="61"/>
    <w:rsid w:val="00421CB2"/>
    <w:rPr>
      <w:rFonts w:eastAsia="Calibri" w:cs="Arial"/>
      <w:sz w:val="24"/>
      <w:szCs w:val="24"/>
      <w:lang w:eastAsia="en-US"/>
    </w:rPr>
    <w:tblPr>
      <w:tblStyleRowBandSize w:val="1"/>
      <w:tblStyleColBandSize w:val="1"/>
    </w:tblPr>
    <w:tcPr>
      <w:tcBorders>
        <w:left w:val="single" w:color="C0504D" w:sz="8" w:space="0"/>
        <w:bottom w:val="single" w:color="C0504D" w:sz="8" w:space="0"/>
        <w:right w:val="single" w:color="C0504D" w:sz="8" w:space="0"/>
      </w:tcBorders>
    </w:tc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color="C0504D" w:sz="6" w:space="0"/>
          <w:left w:val="single" w:color="C0504D" w:sz="8" w:space="0"/>
          <w:bottom w:val="single" w:color="C0504D" w:sz="8" w:space="0"/>
          <w:right w:val="single" w:color="C0504D" w:sz="8" w:space="0"/>
        </w:tcBorders>
      </w:tcPr>
    </w:tblStylePr>
    <w:tblStylePr w:type="firstCol">
      <w:rPr>
        <w:b/>
        <w:bCs/>
      </w:rPr>
    </w:tblStylePr>
    <w:tblStylePr w:type="lastCol">
      <w:rPr>
        <w:b/>
        <w:bCs/>
      </w:rPr>
    </w:tblStylePr>
  </w:style>
  <w:style w:type="table" w:styleId="LightShading-Accent2">
    <w:name w:val="Light Shading Accent 2"/>
    <w:basedOn w:val="TableNormal"/>
    <w:uiPriority w:val="60"/>
    <w:rsid w:val="00CB6B99"/>
    <w:rPr>
      <w:rFonts w:eastAsia="Calibri" w:cs="Arial"/>
      <w:color w:val="943634"/>
      <w:sz w:val="24"/>
      <w:szCs w:val="24"/>
      <w:lang w:eastAsia="en-US"/>
    </w:rPr>
    <w:tblPr>
      <w:tblStyleRowBandSize w:val="1"/>
      <w:tblStyleColBandSize w:val="1"/>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nil"/>
          <w:bottom w:val="single" w:color="C0504D" w:sz="8" w:space="0"/>
          <w:right w:val="nil"/>
          <w:insideH w:val="nil"/>
          <w:insideV w:val="nil"/>
        </w:tcBorders>
      </w:tcPr>
    </w:tblStylePr>
    <w:tblStylePr w:type="lastRow">
      <w:pPr>
        <w:spacing w:before="0" w:after="0" w:line="240" w:lineRule="auto"/>
      </w:pPr>
      <w:rPr>
        <w:b/>
        <w:bCs/>
      </w:rPr>
      <w:tblPr/>
      <w:tcPr>
        <w:tcBorders>
          <w:top w:val="single" w:color="C0504D" w:sz="8" w:space="0"/>
          <w:left w:val="nil"/>
          <w:bottom w:val="single" w:color="C0504D"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Revision">
    <w:name w:val="Revision"/>
    <w:hidden/>
    <w:uiPriority w:val="99"/>
    <w:semiHidden/>
    <w:rsid w:val="009034EC"/>
    <w:pPr>
      <w:spacing w:after="120"/>
    </w:pPr>
    <w:rPr>
      <w:color w:val="000000"/>
      <w:sz w:val="24"/>
      <w:szCs w:val="24"/>
      <w:lang w:eastAsia="en-US"/>
    </w:rPr>
  </w:style>
  <w:style w:type="paragraph" w:styleId="Tableandfigurecaption" w:customStyle="1">
    <w:name w:val="Table and figure caption"/>
    <w:basedOn w:val="Heading2"/>
    <w:rsid w:val="00692627"/>
    <w:pPr>
      <w:ind w:left="360"/>
    </w:pPr>
    <w:rPr>
      <w:bCs/>
      <w:szCs w:val="20"/>
    </w:rPr>
  </w:style>
  <w:style w:type="numbering" w:styleId="StyleNumberedLeft0cmHanging075cm" w:customStyle="1">
    <w:name w:val="Style Numbered Left:  0 cm Hanging:  0.75 cm"/>
    <w:basedOn w:val="NoList"/>
    <w:rsid w:val="00E818D6"/>
    <w:pPr>
      <w:numPr>
        <w:numId w:val="14"/>
      </w:numPr>
    </w:pPr>
  </w:style>
  <w:style w:type="paragraph" w:styleId="Bulletpoints" w:customStyle="1">
    <w:name w:val="Bullet points"/>
    <w:basedOn w:val="Normal"/>
    <w:link w:val="BulletpointsChar"/>
    <w:qFormat/>
    <w:rsid w:val="005570B5"/>
    <w:pPr>
      <w:numPr>
        <w:numId w:val="15"/>
      </w:numPr>
      <w:tabs>
        <w:tab w:val="left" w:pos="993"/>
      </w:tabs>
      <w:ind w:left="993" w:hanging="425"/>
    </w:pPr>
  </w:style>
  <w:style w:type="paragraph" w:styleId="Quote">
    <w:name w:val="Quote"/>
    <w:basedOn w:val="Normal"/>
    <w:next w:val="Normal"/>
    <w:link w:val="QuoteChar"/>
    <w:uiPriority w:val="29"/>
    <w:qFormat/>
    <w:rsid w:val="004A6D2F"/>
    <w:rPr>
      <w:i/>
      <w:iCs/>
    </w:rPr>
  </w:style>
  <w:style w:type="character" w:styleId="BulletpointsChar" w:customStyle="1">
    <w:name w:val="Bullet points Char"/>
    <w:link w:val="Bulletpoints"/>
    <w:rsid w:val="005570B5"/>
    <w:rPr>
      <w:color w:val="000000"/>
      <w:sz w:val="24"/>
      <w:szCs w:val="24"/>
    </w:rPr>
  </w:style>
  <w:style w:type="character" w:styleId="QuoteChar" w:customStyle="1">
    <w:name w:val="Quote Char"/>
    <w:link w:val="Quote"/>
    <w:uiPriority w:val="29"/>
    <w:rsid w:val="004A6D2F"/>
    <w:rPr>
      <w:rFonts w:ascii="Arial" w:hAnsi="Arial"/>
      <w:i/>
      <w:iCs/>
      <w:color w:val="000000"/>
      <w:sz w:val="24"/>
      <w:szCs w:val="24"/>
      <w:lang w:eastAsia="en-US"/>
    </w:rPr>
  </w:style>
  <w:style w:type="character" w:styleId="FooterChar" w:customStyle="1">
    <w:name w:val="Footer Char"/>
    <w:aliases w:val="zzFooter Char"/>
    <w:link w:val="Footer"/>
    <w:uiPriority w:val="99"/>
    <w:rsid w:val="004B11AE"/>
    <w:rPr>
      <w:color w:val="000000"/>
      <w:sz w:val="18"/>
      <w:szCs w:val="24"/>
    </w:rPr>
  </w:style>
  <w:style w:type="character" w:styleId="Firstpagetablebold" w:customStyle="1">
    <w:name w:val="First page table: bold"/>
    <w:qFormat/>
    <w:rsid w:val="005D1E27"/>
    <w:rPr>
      <w:rFonts w:ascii="Arial" w:hAnsi="Arial"/>
      <w:b/>
      <w:sz w:val="24"/>
    </w:rPr>
  </w:style>
  <w:style w:type="paragraph" w:styleId="bParagraphtext" w:customStyle="1">
    <w:name w:val="bParagraph text"/>
    <w:basedOn w:val="ListParagraph"/>
    <w:link w:val="bParagraphtextChar"/>
    <w:qFormat/>
    <w:rsid w:val="004268B9"/>
  </w:style>
  <w:style w:type="paragraph" w:styleId="Caption">
    <w:name w:val="caption"/>
    <w:basedOn w:val="Normal"/>
    <w:next w:val="Normal"/>
    <w:unhideWhenUsed/>
    <w:qFormat/>
    <w:rsid w:val="0093067A"/>
    <w:pPr>
      <w:spacing w:before="120"/>
      <w:jc w:val="center"/>
    </w:pPr>
    <w:rPr>
      <w:b/>
      <w:bCs/>
      <w:sz w:val="20"/>
      <w:szCs w:val="20"/>
    </w:rPr>
  </w:style>
  <w:style w:type="character" w:styleId="ListParagraphChar" w:customStyle="1">
    <w:name w:val="List Paragraph Char"/>
    <w:link w:val="ListParagraph"/>
    <w:uiPriority w:val="34"/>
    <w:rsid w:val="005570B5"/>
    <w:rPr>
      <w:color w:val="000000"/>
      <w:sz w:val="24"/>
      <w:szCs w:val="24"/>
    </w:rPr>
  </w:style>
  <w:style w:type="character" w:styleId="bParagraphtextChar" w:customStyle="1">
    <w:name w:val="bParagraph text Char"/>
    <w:link w:val="bParagraphtext"/>
    <w:rsid w:val="005570B5"/>
    <w:rPr>
      <w:color w:val="000000"/>
      <w:sz w:val="24"/>
      <w:szCs w:val="24"/>
    </w:rPr>
  </w:style>
  <w:style w:type="paragraph" w:styleId="Numberedlist" w:customStyle="1">
    <w:name w:val="Numbered list"/>
    <w:basedOn w:val="Bulletpoints"/>
    <w:link w:val="NumberedlistChar"/>
    <w:qFormat/>
    <w:rsid w:val="004738C5"/>
    <w:pPr>
      <w:numPr>
        <w:numId w:val="17"/>
      </w:numPr>
      <w:ind w:left="993" w:hanging="426"/>
    </w:pPr>
  </w:style>
  <w:style w:type="character" w:styleId="Heading1Char" w:customStyle="1">
    <w:name w:val="Heading 1 Char"/>
    <w:aliases w:val="aHeading Char"/>
    <w:link w:val="Heading1"/>
    <w:rsid w:val="002B6836"/>
    <w:rPr>
      <w:b/>
      <w:color w:val="000000"/>
      <w:sz w:val="24"/>
      <w:szCs w:val="24"/>
    </w:rPr>
  </w:style>
  <w:style w:type="paragraph" w:styleId="TOAHeading">
    <w:name w:val="toa heading"/>
    <w:basedOn w:val="Normal"/>
    <w:next w:val="Normal"/>
    <w:rsid w:val="005570B5"/>
    <w:pPr>
      <w:spacing w:before="120"/>
    </w:pPr>
    <w:rPr>
      <w:rFonts w:ascii="Cambria" w:hAnsi="Cambria"/>
      <w:b/>
      <w:bCs/>
    </w:rPr>
  </w:style>
  <w:style w:type="character" w:styleId="NumberedlistChar" w:customStyle="1">
    <w:name w:val="Numbered list Char"/>
    <w:link w:val="Numberedlist"/>
    <w:rsid w:val="004738C5"/>
    <w:rPr>
      <w:color w:val="000000"/>
      <w:sz w:val="24"/>
      <w:szCs w:val="24"/>
    </w:rPr>
  </w:style>
  <w:style w:type="table" w:styleId="TableColumns1">
    <w:name w:val="Table Columns 1"/>
    <w:basedOn w:val="TableNormal"/>
    <w:rsid w:val="00507ECC"/>
    <w:pPr>
      <w:spacing w:after="120"/>
    </w:pPr>
    <w:rPr>
      <w:b/>
      <w:bCs/>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4">
    <w:name w:val="Table Classic 4"/>
    <w:basedOn w:val="TableNormal"/>
    <w:rsid w:val="00507ECC"/>
    <w:pPr>
      <w:spacing w:after="120"/>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Grid3">
    <w:name w:val="Table Grid 3"/>
    <w:basedOn w:val="TableNormal"/>
    <w:rsid w:val="00507ECC"/>
    <w:pPr>
      <w:spacing w:after="120"/>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LightList-Accent1">
    <w:name w:val="Light List Accent 1"/>
    <w:basedOn w:val="TableNormal"/>
    <w:uiPriority w:val="61"/>
    <w:rsid w:val="00507ECC"/>
    <w:tblPr>
      <w:tblStyleRowBandSize w:val="1"/>
      <w:tblStyleColBandSize w:val="1"/>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character" w:styleId="UnresolvedMention">
    <w:name w:val="Unresolved Mention"/>
    <w:basedOn w:val="DefaultParagraphFont"/>
    <w:uiPriority w:val="99"/>
    <w:semiHidden/>
    <w:unhideWhenUsed/>
    <w:rsid w:val="00FB65A8"/>
    <w:rPr>
      <w:color w:val="605E5C"/>
      <w:shd w:val="clear" w:color="auto" w:fill="E1DFDD"/>
    </w:rPr>
  </w:style>
  <w:style w:type="character" w:styleId="FollowedHyperlink">
    <w:name w:val="FollowedHyperlink"/>
    <w:basedOn w:val="DefaultParagraphFont"/>
    <w:semiHidden/>
    <w:unhideWhenUsed/>
    <w:rsid w:val="001D123F"/>
    <w:rPr>
      <w:color w:val="800080" w:themeColor="followedHyperlink"/>
      <w:u w:val="single"/>
    </w:rPr>
  </w:style>
  <w:style w:type="table" w:styleId="LightGrid-Accent1">
    <w:name w:val="Light Grid Accent 1"/>
    <w:basedOn w:val="TableNormal"/>
    <w:uiPriority w:val="62"/>
    <w:rsid w:val="006817AB"/>
    <w:rPr>
      <w:rFonts w:asciiTheme="minorHAnsi" w:hAnsiTheme="minorHAnsi" w:eastAsiaTheme="minorEastAsia" w:cstheme="minorBidi"/>
      <w:sz w:val="22"/>
      <w:szCs w:val="22"/>
      <w:lang w:val="en-US" w:eastAsia="en-US"/>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970471">
      <w:bodyDiv w:val="1"/>
      <w:marLeft w:val="0"/>
      <w:marRight w:val="0"/>
      <w:marTop w:val="0"/>
      <w:marBottom w:val="0"/>
      <w:divBdr>
        <w:top w:val="none" w:sz="0" w:space="0" w:color="auto"/>
        <w:left w:val="none" w:sz="0" w:space="0" w:color="auto"/>
        <w:bottom w:val="none" w:sz="0" w:space="0" w:color="auto"/>
        <w:right w:val="none" w:sz="0" w:space="0" w:color="auto"/>
      </w:divBdr>
    </w:div>
    <w:div w:id="255987371">
      <w:bodyDiv w:val="1"/>
      <w:marLeft w:val="0"/>
      <w:marRight w:val="0"/>
      <w:marTop w:val="0"/>
      <w:marBottom w:val="0"/>
      <w:divBdr>
        <w:top w:val="none" w:sz="0" w:space="0" w:color="auto"/>
        <w:left w:val="none" w:sz="0" w:space="0" w:color="auto"/>
        <w:bottom w:val="none" w:sz="0" w:space="0" w:color="auto"/>
        <w:right w:val="none" w:sz="0" w:space="0" w:color="auto"/>
      </w:divBdr>
    </w:div>
    <w:div w:id="261574074">
      <w:bodyDiv w:val="1"/>
      <w:marLeft w:val="0"/>
      <w:marRight w:val="0"/>
      <w:marTop w:val="0"/>
      <w:marBottom w:val="0"/>
      <w:divBdr>
        <w:top w:val="none" w:sz="0" w:space="0" w:color="auto"/>
        <w:left w:val="none" w:sz="0" w:space="0" w:color="auto"/>
        <w:bottom w:val="none" w:sz="0" w:space="0" w:color="auto"/>
        <w:right w:val="none" w:sz="0" w:space="0" w:color="auto"/>
      </w:divBdr>
    </w:div>
    <w:div w:id="373189891">
      <w:bodyDiv w:val="1"/>
      <w:marLeft w:val="0"/>
      <w:marRight w:val="0"/>
      <w:marTop w:val="0"/>
      <w:marBottom w:val="0"/>
      <w:divBdr>
        <w:top w:val="none" w:sz="0" w:space="0" w:color="auto"/>
        <w:left w:val="none" w:sz="0" w:space="0" w:color="auto"/>
        <w:bottom w:val="none" w:sz="0" w:space="0" w:color="auto"/>
        <w:right w:val="none" w:sz="0" w:space="0" w:color="auto"/>
      </w:divBdr>
    </w:div>
    <w:div w:id="509295349">
      <w:bodyDiv w:val="1"/>
      <w:marLeft w:val="0"/>
      <w:marRight w:val="0"/>
      <w:marTop w:val="0"/>
      <w:marBottom w:val="0"/>
      <w:divBdr>
        <w:top w:val="none" w:sz="0" w:space="0" w:color="auto"/>
        <w:left w:val="none" w:sz="0" w:space="0" w:color="auto"/>
        <w:bottom w:val="none" w:sz="0" w:space="0" w:color="auto"/>
        <w:right w:val="none" w:sz="0" w:space="0" w:color="auto"/>
      </w:divBdr>
    </w:div>
    <w:div w:id="565995746">
      <w:bodyDiv w:val="1"/>
      <w:marLeft w:val="0"/>
      <w:marRight w:val="0"/>
      <w:marTop w:val="0"/>
      <w:marBottom w:val="0"/>
      <w:divBdr>
        <w:top w:val="none" w:sz="0" w:space="0" w:color="auto"/>
        <w:left w:val="none" w:sz="0" w:space="0" w:color="auto"/>
        <w:bottom w:val="none" w:sz="0" w:space="0" w:color="auto"/>
        <w:right w:val="none" w:sz="0" w:space="0" w:color="auto"/>
      </w:divBdr>
    </w:div>
    <w:div w:id="674767497">
      <w:bodyDiv w:val="1"/>
      <w:marLeft w:val="0"/>
      <w:marRight w:val="0"/>
      <w:marTop w:val="0"/>
      <w:marBottom w:val="0"/>
      <w:divBdr>
        <w:top w:val="none" w:sz="0" w:space="0" w:color="auto"/>
        <w:left w:val="none" w:sz="0" w:space="0" w:color="auto"/>
        <w:bottom w:val="none" w:sz="0" w:space="0" w:color="auto"/>
        <w:right w:val="none" w:sz="0" w:space="0" w:color="auto"/>
      </w:divBdr>
    </w:div>
    <w:div w:id="715664606">
      <w:bodyDiv w:val="1"/>
      <w:marLeft w:val="0"/>
      <w:marRight w:val="0"/>
      <w:marTop w:val="0"/>
      <w:marBottom w:val="0"/>
      <w:divBdr>
        <w:top w:val="none" w:sz="0" w:space="0" w:color="auto"/>
        <w:left w:val="none" w:sz="0" w:space="0" w:color="auto"/>
        <w:bottom w:val="none" w:sz="0" w:space="0" w:color="auto"/>
        <w:right w:val="none" w:sz="0" w:space="0" w:color="auto"/>
      </w:divBdr>
    </w:div>
    <w:div w:id="896626785">
      <w:bodyDiv w:val="1"/>
      <w:marLeft w:val="0"/>
      <w:marRight w:val="0"/>
      <w:marTop w:val="0"/>
      <w:marBottom w:val="0"/>
      <w:divBdr>
        <w:top w:val="none" w:sz="0" w:space="0" w:color="auto"/>
        <w:left w:val="none" w:sz="0" w:space="0" w:color="auto"/>
        <w:bottom w:val="none" w:sz="0" w:space="0" w:color="auto"/>
        <w:right w:val="none" w:sz="0" w:space="0" w:color="auto"/>
      </w:divBdr>
    </w:div>
    <w:div w:id="1234318887">
      <w:bodyDiv w:val="1"/>
      <w:marLeft w:val="0"/>
      <w:marRight w:val="0"/>
      <w:marTop w:val="0"/>
      <w:marBottom w:val="0"/>
      <w:divBdr>
        <w:top w:val="none" w:sz="0" w:space="0" w:color="auto"/>
        <w:left w:val="none" w:sz="0" w:space="0" w:color="auto"/>
        <w:bottom w:val="none" w:sz="0" w:space="0" w:color="auto"/>
        <w:right w:val="none" w:sz="0" w:space="0" w:color="auto"/>
      </w:divBdr>
    </w:div>
    <w:div w:id="1343970612">
      <w:bodyDiv w:val="1"/>
      <w:marLeft w:val="0"/>
      <w:marRight w:val="0"/>
      <w:marTop w:val="0"/>
      <w:marBottom w:val="0"/>
      <w:divBdr>
        <w:top w:val="none" w:sz="0" w:space="0" w:color="auto"/>
        <w:left w:val="none" w:sz="0" w:space="0" w:color="auto"/>
        <w:bottom w:val="none" w:sz="0" w:space="0" w:color="auto"/>
        <w:right w:val="none" w:sz="0" w:space="0" w:color="auto"/>
      </w:divBdr>
    </w:div>
    <w:div w:id="1454129367">
      <w:bodyDiv w:val="1"/>
      <w:marLeft w:val="0"/>
      <w:marRight w:val="0"/>
      <w:marTop w:val="0"/>
      <w:marBottom w:val="0"/>
      <w:divBdr>
        <w:top w:val="none" w:sz="0" w:space="0" w:color="auto"/>
        <w:left w:val="none" w:sz="0" w:space="0" w:color="auto"/>
        <w:bottom w:val="none" w:sz="0" w:space="0" w:color="auto"/>
        <w:right w:val="none" w:sz="0" w:space="0" w:color="auto"/>
      </w:divBdr>
    </w:div>
    <w:div w:id="1464349370">
      <w:bodyDiv w:val="1"/>
      <w:marLeft w:val="0"/>
      <w:marRight w:val="0"/>
      <w:marTop w:val="0"/>
      <w:marBottom w:val="0"/>
      <w:divBdr>
        <w:top w:val="none" w:sz="0" w:space="0" w:color="auto"/>
        <w:left w:val="none" w:sz="0" w:space="0" w:color="auto"/>
        <w:bottom w:val="none" w:sz="0" w:space="0" w:color="auto"/>
        <w:right w:val="none" w:sz="0" w:space="0" w:color="auto"/>
      </w:divBdr>
    </w:div>
    <w:div w:id="1661154107">
      <w:bodyDiv w:val="1"/>
      <w:marLeft w:val="0"/>
      <w:marRight w:val="0"/>
      <w:marTop w:val="0"/>
      <w:marBottom w:val="0"/>
      <w:divBdr>
        <w:top w:val="none" w:sz="0" w:space="0" w:color="auto"/>
        <w:left w:val="none" w:sz="0" w:space="0" w:color="auto"/>
        <w:bottom w:val="none" w:sz="0" w:space="0" w:color="auto"/>
        <w:right w:val="none" w:sz="0" w:space="0" w:color="auto"/>
      </w:divBdr>
    </w:div>
    <w:div w:id="2107918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oxford.gov.uk/downloads/download/518/download-the-tenancy-strategy" TargetMode="External" Id="rId13" /><Relationship Type="http://schemas.openxmlformats.org/officeDocument/2006/relationships/footer" Target="footer2.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hyperlink" Target="mailto:scohen@oxford.gov.uk" TargetMode="Externa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footer" Target="footer3.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mycouncil.oxford.gov.uk/mgIssueHistoryHome.aspx?IId=40444&amp;PlanId=551&amp;RPID=0" TargetMode="External" Id="rId11" /><Relationship Type="http://schemas.microsoft.com/office/2020/10/relationships/intelligence" Target="intelligence2.xml" Id="rId24" /><Relationship Type="http://schemas.openxmlformats.org/officeDocument/2006/relationships/numbering" Target="numbering.xml" Id="rId5" /><Relationship Type="http://schemas.openxmlformats.org/officeDocument/2006/relationships/header" Target="header1.xml" Id="rId15" /><Relationship Type="http://schemas.microsoft.com/office/2019/05/relationships/documenttasks" Target="documenttasks/documenttasks1.xml" Id="rId23" /><Relationship Type="http://schemas.openxmlformats.org/officeDocument/2006/relationships/endnotes" Target="endnotes.xml" Id="rId10" /><Relationship Type="http://schemas.openxmlformats.org/officeDocument/2006/relationships/header" Target="header3.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oxford.gov.uk/housing/housing-homelessness-rough-sleeping-strategy" TargetMode="External" Id="rId14" /><Relationship Type="http://schemas.openxmlformats.org/officeDocument/2006/relationships/theme" Target="theme/theme1.xml" Id="rId22" /></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documenttasks/documenttasks1.xml><?xml version="1.0" encoding="utf-8"?>
<t:Tasks xmlns:t="http://schemas.microsoft.com/office/tasks/2019/documenttasks" xmlns:oel="http://schemas.microsoft.com/office/2019/extlst">
  <t:Task id="{3D3F9CF7-9A7B-4373-B222-31C5E9B4AD9F}">
    <t:Anchor>
      <t:Comment id="1704922512"/>
    </t:Anchor>
    <t:History>
      <t:Event id="{962927C9-0D7D-4FC9-9F6C-DDD91EF5DC91}" time="2025-11-04T09:25:27.45Z">
        <t:Attribution userId="S::nparry@oxford.gov.uk::2333eb87-4dd8-4e03-adfd-502b37cb80a9" userProvider="AD" userName="PARRY Nerys"/>
        <t:Anchor>
          <t:Comment id="1704922512"/>
        </t:Anchor>
        <t:Create/>
      </t:Event>
      <t:Event id="{81D5FED0-1C4A-4CD0-94CE-37D7E90E0260}" time="2025-11-04T09:25:27.45Z">
        <t:Attribution userId="S::nparry@oxford.gov.uk::2333eb87-4dd8-4e03-adfd-502b37cb80a9" userProvider="AD" userName="PARRY Nerys"/>
        <t:Anchor>
          <t:Comment id="1704922512"/>
        </t:Anchor>
        <t:Assign userId="S::scohen@oxford.gov.uk::83998f0a-9103-481a-8d58-b943b4bcadfd" userProvider="AD" userName="COHEN Stephen"/>
      </t:Event>
      <t:Event id="{1AB74937-8E72-45B5-95A1-0A509CE35F41}" time="2025-11-04T09:25:27.45Z">
        <t:Attribution userId="S::nparry@oxford.gov.uk::2333eb87-4dd8-4e03-adfd-502b37cb80a9" userProvider="AD" userName="PARRY Nerys"/>
        <t:Anchor>
          <t:Comment id="1704922512"/>
        </t:Anchor>
        <t:SetTitle title="@COHEN Stephen - would this not be a stand alone appendix liek the other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288C9F99542148A16292699E9EF8DD" ma:contentTypeVersion="12" ma:contentTypeDescription="Create a new document." ma:contentTypeScope="" ma:versionID="c0890496c46167c86a643b70879a49fc">
  <xsd:schema xmlns:xsd="http://www.w3.org/2001/XMLSchema" xmlns:xs="http://www.w3.org/2001/XMLSchema" xmlns:p="http://schemas.microsoft.com/office/2006/metadata/properties" xmlns:ns2="767482ae-7241-49c3-8a4f-7ce08acf9f0e" xmlns:ns3="3786fa0e-627d-4c8f-81d4-9acfec184fed" targetNamespace="http://schemas.microsoft.com/office/2006/metadata/properties" ma:root="true" ma:fieldsID="f707e2255aaf8df206e3137265692de0" ns2:_="" ns3:_="">
    <xsd:import namespace="767482ae-7241-49c3-8a4f-7ce08acf9f0e"/>
    <xsd:import namespace="3786fa0e-627d-4c8f-81d4-9acfec184fe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7482ae-7241-49c3-8a4f-7ce08acf9f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dd4ae1b-e163-46e9-a8ef-d6e330c9a7d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86fa0e-627d-4c8f-81d4-9acfec184fe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2b3b9f7-7072-40e0-9d1e-a551a753d0fc}" ma:internalName="TaxCatchAll" ma:showField="CatchAllData" ma:web="3786fa0e-627d-4c8f-81d4-9acfec184f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67482ae-7241-49c3-8a4f-7ce08acf9f0e">
      <Terms xmlns="http://schemas.microsoft.com/office/infopath/2007/PartnerControls"/>
    </lcf76f155ced4ddcb4097134ff3c332f>
    <TaxCatchAll xmlns="3786fa0e-627d-4c8f-81d4-9acfec184fed"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E33217-C91A-446D-B846-DB92D63E5C55}"/>
</file>

<file path=customXml/itemProps2.xml><?xml version="1.0" encoding="utf-8"?>
<ds:datastoreItem xmlns:ds="http://schemas.openxmlformats.org/officeDocument/2006/customXml" ds:itemID="{181BCFD2-81E2-4427-86F5-27E3506938E2}">
  <ds:schemaRefs>
    <ds:schemaRef ds:uri="http://schemas.microsoft.com/sharepoint/v3/contenttype/forms"/>
  </ds:schemaRefs>
</ds:datastoreItem>
</file>

<file path=customXml/itemProps3.xml><?xml version="1.0" encoding="utf-8"?>
<ds:datastoreItem xmlns:ds="http://schemas.openxmlformats.org/officeDocument/2006/customXml" ds:itemID="{D7302B15-B981-4809-B525-C3BA22C5FE7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A6AB859-1359-4A59-AAB8-A2A5B8A58C45}">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Oxford City Council</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OxCityCouncil Cabinet report</dc:title>
  <dc:subject/>
  <dc:creator>jmitchell</dc:creator>
  <cp:keywords>OxCityCouncil Report</cp:keywords>
  <cp:lastModifiedBy>MCCOLLUM Brenda</cp:lastModifiedBy>
  <cp:revision>6</cp:revision>
  <cp:lastPrinted>2025-10-30T16:19:00Z</cp:lastPrinted>
  <dcterms:created xsi:type="dcterms:W3CDTF">2025-11-10T13:36:00Z</dcterms:created>
  <dcterms:modified xsi:type="dcterms:W3CDTF">2025-12-01T12:22:31Z</dcterms:modified>
  <cp:category>Report to Council or Committee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0x010100B5288C9F99542148A16292699E9EF8DD</vt:lpwstr>
  </property>
  <property fmtid="{D5CDD505-2E9C-101B-9397-08002B2CF9AE}" pid="3" name="docLang">
    <vt:lpwstr>en</vt:lpwstr>
  </property>
  <property fmtid="{D5CDD505-2E9C-101B-9397-08002B2CF9AE}" pid="4" name="MediaServiceImageTags">
    <vt:lpwstr/>
  </property>
</Properties>
</file>